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C" w:rsidRDefault="00F63B27" w:rsidP="009C5FC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46EEC">
        <w:rPr>
          <w:rFonts w:ascii="Arial" w:hAnsi="Arial" w:cs="Arial"/>
          <w:sz w:val="22"/>
        </w:rPr>
        <w:br w:type="page"/>
      </w:r>
      <w:r w:rsidR="009C5FC5" w:rsidRPr="005D1928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BA7387" wp14:editId="34EED271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915659" cy="3242944"/>
                <wp:effectExtent l="19050" t="19050" r="28575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59" cy="3242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C5" w:rsidRPr="00EB600F" w:rsidRDefault="009C5FC5" w:rsidP="009C5FC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600F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7B30246" wp14:editId="496AEC41">
                                  <wp:extent cx="2520315" cy="430530"/>
                                  <wp:effectExtent l="0" t="0" r="0" b="7620"/>
                                  <wp:docPr id="5" name="Imagen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315" cy="430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FC5" w:rsidRPr="00EB600F" w:rsidRDefault="009C5FC5" w:rsidP="009C5F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5FC5" w:rsidRPr="00EB600F" w:rsidRDefault="009C5FC5" w:rsidP="009C5F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60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Empresa de Acueducto y Alcantarillado de Bogotá – ESP (EAAB-ESP) Informa a los usuarios de los servicios de acueducto y alcantarillado en todas sus áreas de prestación y a los beneficiarios de los contratos de suministro de agua potable e interconexión:</w:t>
                            </w:r>
                          </w:p>
                          <w:p w:rsidR="009C5FC5" w:rsidRPr="00EB600F" w:rsidRDefault="009C5FC5" w:rsidP="009C5F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5FC5" w:rsidRPr="00F92B4B" w:rsidRDefault="009C5FC5" w:rsidP="009C5FC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B4B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 la Junta Directiva de la EAAB-ESP mediante el Acuerdo No 62 del 2020</w:t>
                            </w:r>
                            <w:bookmarkStart w:id="0" w:name="_GoBack"/>
                            <w:bookmarkEnd w:id="0"/>
                            <w:r w:rsidRPr="00F92B4B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modifica y actualiza los costos de referencia, adopta las nuevas tarifas para los servicios de acueducto, alcantarillado y contratos de suministro de agua potable e interconexión y adopta determinaciones sobre la aplicación de la Resolución CRA 936 de 2020.</w:t>
                            </w:r>
                          </w:p>
                          <w:p w:rsidR="009C5FC5" w:rsidRDefault="009C5FC5" w:rsidP="009C5FC5">
                            <w:p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5FC5" w:rsidRDefault="009C5FC5" w:rsidP="009C5FC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Que el </w:t>
                            </w:r>
                            <w:r w:rsidRPr="00F92B4B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plazo del Plan de Aplicación Gradual previsto en la Resolución CRA 936 de 2020 para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 aplicación de </w:t>
                            </w:r>
                            <w:r w:rsidRPr="00F92B4B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variaciones acumuladas de los incrementos tarifarios suspendidos, </w:t>
                            </w:r>
                            <w:r w:rsidR="00DF1FB2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por IPC, variaciones de costos particulares y costo de tasas ambientales, </w:t>
                            </w:r>
                            <w:r w:rsidRPr="00F92B4B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 estableció en </w:t>
                            </w:r>
                            <w:r w:rsidRPr="00F92B4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 meses</w:t>
                            </w:r>
                            <w:r w:rsidRPr="00F92B4B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9C5FC5" w:rsidRPr="00F92B4B" w:rsidRDefault="009C5FC5" w:rsidP="009C5FC5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5FC5" w:rsidRPr="00F92B4B" w:rsidRDefault="009C5FC5" w:rsidP="009C5FC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 l</w:t>
                            </w:r>
                            <w:r w:rsidRPr="00F92B4B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 nuevas tarifas que serán aplicadas previo cumplimiento de los requisitos de información establecidos en la Resolución CRA 151 de 2001, serán las siguientes: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A73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6.35pt;width:465.8pt;height:255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" strokeweight="2.25pt">
                <v:stroke linestyle="thickThin"/>
                <v:textbox style="mso-fit-shape-to-text:t">
                  <w:txbxContent>
                    <w:p w:rsidR="009C5FC5" w:rsidRPr="00EB600F" w:rsidRDefault="009C5FC5" w:rsidP="009C5FC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600F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7B30246" wp14:editId="496AEC41">
                            <wp:extent cx="2520315" cy="430530"/>
                            <wp:effectExtent l="0" t="0" r="0" b="7620"/>
                            <wp:docPr id="5" name="Imagen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315" cy="430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FC5" w:rsidRPr="00EB600F" w:rsidRDefault="009C5FC5" w:rsidP="009C5F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C5FC5" w:rsidRPr="00EB600F" w:rsidRDefault="009C5FC5" w:rsidP="009C5F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600F">
                        <w:rPr>
                          <w:rFonts w:ascii="Arial" w:hAnsi="Arial" w:cs="Arial"/>
                          <w:b/>
                          <w:bCs/>
                          <w:sz w:val="24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Empresa de Acueducto y Alcantarillado de Bogotá – ESP (EAAB-ESP) Informa a los usuarios de los servicios de acueducto y alcantarillado en todas sus áreas de prestación y a los beneficiarios de los contratos de suministro de agua potable e interconexión:</w:t>
                      </w:r>
                    </w:p>
                    <w:p w:rsidR="009C5FC5" w:rsidRPr="00EB600F" w:rsidRDefault="009C5FC5" w:rsidP="009C5FC5">
                      <w:pPr>
                        <w:jc w:val="both"/>
                        <w:rPr>
                          <w:rFonts w:ascii="Arial" w:hAnsi="Arial" w:cs="Arial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C5FC5" w:rsidRPr="00F92B4B" w:rsidRDefault="009C5FC5" w:rsidP="009C5FC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B4B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Que la Junta Directiva de la EAAB-ESP mediante el Acuerdo No 62 del 2020</w:t>
                      </w:r>
                      <w:bookmarkStart w:id="1" w:name="_GoBack"/>
                      <w:bookmarkEnd w:id="1"/>
                      <w:r w:rsidRPr="00F92B4B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modifica y actualiza los costos de referencia, adopta las nuevas tarifas para los servicios de acueducto, alcantarillado y contratos de suministro de agua potable e interconexión y adopta determinaciones sobre la aplicación de la Resolución CRA 936 de 2020.</w:t>
                      </w:r>
                    </w:p>
                    <w:p w:rsidR="009C5FC5" w:rsidRDefault="009C5FC5" w:rsidP="009C5FC5">
                      <w:pPr>
                        <w:ind w:left="426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C5FC5" w:rsidRDefault="009C5FC5" w:rsidP="009C5FC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Que el </w:t>
                      </w:r>
                      <w:r w:rsidRPr="00F92B4B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plazo del Plan de Aplicación Gradual previsto en la Resolución CRA 936 de 2020 para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 aplicación de </w:t>
                      </w:r>
                      <w:r w:rsidRPr="00F92B4B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variaciones acumuladas de los incrementos tarifarios suspendidos, </w:t>
                      </w:r>
                      <w:r w:rsidR="00DF1FB2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por IPC, variaciones de costos particulares y costo de tasas ambientales, </w:t>
                      </w:r>
                      <w:r w:rsidRPr="00F92B4B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 estableció en </w:t>
                      </w:r>
                      <w:r w:rsidRPr="00F92B4B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 meses</w:t>
                      </w:r>
                      <w:r w:rsidRPr="00F92B4B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9C5FC5" w:rsidRPr="00F92B4B" w:rsidRDefault="009C5FC5" w:rsidP="009C5FC5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C5FC5" w:rsidRPr="00F92B4B" w:rsidRDefault="009C5FC5" w:rsidP="009C5FC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Que l</w:t>
                      </w:r>
                      <w:r w:rsidRPr="00F92B4B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 nuevas tarifas que serán aplicadas previo cumplimiento de los requisitos de información establecidos en la Resolución CRA 151 de 2001, serán las siguientes: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928" w:rsidRDefault="005D1928" w:rsidP="00DD1349">
      <w:pPr>
        <w:jc w:val="both"/>
        <w:rPr>
          <w:rFonts w:ascii="Arial" w:hAnsi="Arial" w:cs="Arial"/>
          <w:sz w:val="22"/>
        </w:rPr>
      </w:pPr>
    </w:p>
    <w:p w:rsidR="005D1928" w:rsidRDefault="005D1928" w:rsidP="00DD1349">
      <w:pPr>
        <w:jc w:val="both"/>
        <w:rPr>
          <w:rFonts w:ascii="Arial" w:hAnsi="Arial" w:cs="Arial"/>
          <w:sz w:val="22"/>
        </w:rPr>
      </w:pPr>
    </w:p>
    <w:p w:rsidR="005D1928" w:rsidRDefault="005D1928" w:rsidP="00DD1349">
      <w:pPr>
        <w:jc w:val="both"/>
        <w:rPr>
          <w:rFonts w:ascii="Arial" w:hAnsi="Arial" w:cs="Arial"/>
          <w:sz w:val="22"/>
        </w:rPr>
      </w:pPr>
    </w:p>
    <w:p w:rsidR="00EB600F" w:rsidRDefault="00EB600F" w:rsidP="00EB6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-249555</wp:posOffset>
                </wp:positionV>
                <wp:extent cx="6515100" cy="6962775"/>
                <wp:effectExtent l="19050" t="1905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9627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80374" id="Rectángulo 8" o:spid="_x0000_s1026" style="position:absolute;margin-left:-20.55pt;margin-top:-19.65pt;width:513pt;height:5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" filled="f" strokecolor="black [3213]" strokeweight="2.25pt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ACUERDO DE JUNTA DIRECTIVA EAAB No. </w:t>
      </w:r>
      <w:r w:rsidR="00601162">
        <w:rPr>
          <w:rFonts w:ascii="Arial" w:hAnsi="Arial" w:cs="Arial"/>
          <w:b/>
          <w:sz w:val="22"/>
          <w:szCs w:val="22"/>
        </w:rPr>
        <w:t xml:space="preserve">62 </w:t>
      </w:r>
      <w:r>
        <w:rPr>
          <w:rFonts w:ascii="Arial" w:hAnsi="Arial" w:cs="Arial"/>
          <w:b/>
          <w:sz w:val="22"/>
          <w:szCs w:val="22"/>
        </w:rPr>
        <w:t>DE 2020</w:t>
      </w:r>
    </w:p>
    <w:p w:rsidR="00EB600F" w:rsidRDefault="00EB600F" w:rsidP="00EB6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Tarifas para la Prestación de los Servicios de Acueducto y Alcantarillado</w:t>
      </w:r>
    </w:p>
    <w:p w:rsidR="00EB600F" w:rsidRDefault="00EB600F" w:rsidP="00EB600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(Precios de diciembre de 2020)</w:t>
      </w:r>
    </w:p>
    <w:p w:rsidR="00EB600F" w:rsidRDefault="00EB600F" w:rsidP="00EB600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1446"/>
        <w:gridCol w:w="1417"/>
        <w:gridCol w:w="1276"/>
        <w:gridCol w:w="1417"/>
        <w:gridCol w:w="1418"/>
        <w:gridCol w:w="1417"/>
      </w:tblGrid>
      <w:tr w:rsidR="00EB600F" w:rsidRPr="003F4632" w:rsidTr="00414766">
        <w:trPr>
          <w:trHeight w:val="330"/>
        </w:trPr>
        <w:tc>
          <w:tcPr>
            <w:tcW w:w="12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Estrato y Clase/Uso</w:t>
            </w:r>
          </w:p>
        </w:tc>
        <w:tc>
          <w:tcPr>
            <w:tcW w:w="8391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BOGOTÁ D.C</w:t>
            </w:r>
          </w:p>
        </w:tc>
      </w:tr>
      <w:tr w:rsidR="00EB600F" w:rsidRPr="003F4632" w:rsidTr="00414766">
        <w:trPr>
          <w:trHeight w:val="256"/>
        </w:trPr>
        <w:tc>
          <w:tcPr>
            <w:tcW w:w="12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Servicio Acueducto</w:t>
            </w:r>
          </w:p>
        </w:tc>
        <w:tc>
          <w:tcPr>
            <w:tcW w:w="42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Servicio Alcantarillado</w:t>
            </w:r>
          </w:p>
        </w:tc>
      </w:tr>
      <w:tr w:rsidR="00EB600F" w:rsidRPr="003F4632" w:rsidTr="00414766">
        <w:trPr>
          <w:trHeight w:val="765"/>
        </w:trPr>
        <w:tc>
          <w:tcPr>
            <w:tcW w:w="12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Fijo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$/Suscriptor/mes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Cargo Básico 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No Básico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Fijo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$/Suscriptor/mes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Cargo Básico 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No Básico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$ 2.065,19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$ 809,95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$ 2.699,84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$ 975,39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$ 838,51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$ 2.795,02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$ 4.130,38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$ 1.619,90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$ 2.699,84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$ 1.950,77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$ 1.677,01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$ 2.795,02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$ 5.851,37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$ 2.294,86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$ 2.699,84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$ 2.763,60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$ 2.375,77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$ 2.795,02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$ 6.883,96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$ 2.699,84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$ 2.699,84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$ 3.251,29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$ 2.795,02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$ 2.795,02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$ 15.420,07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$ 4.184,75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$ 4.184,75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$ 8.095,71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$ 4.220,48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$ 4.220,48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$ 18.862,05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$ 4.454,74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$ 4.454,74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$ 11.249,46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$ 4.499,98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$ 4.499,98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Comercial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$ 10.325,94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$ 4.049,76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$ 4.049,76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$ 4.876,94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$ 4.192,53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$ 4.192,53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Industrial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$ 8.949,15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$ 3.725,78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$ 3.725,78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$ 4.259,19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$ 3.996,88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$ 3.996,88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Oficial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$ 6.883,96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$ 2.699,84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$ 2.699,84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$ 3.251,29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$ 2.795,02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$ 2.795,02 </w:t>
            </w:r>
          </w:p>
        </w:tc>
      </w:tr>
    </w:tbl>
    <w:p w:rsidR="00EB600F" w:rsidRDefault="00EB600F" w:rsidP="00EB600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1446"/>
        <w:gridCol w:w="1417"/>
        <w:gridCol w:w="1276"/>
        <w:gridCol w:w="1417"/>
        <w:gridCol w:w="1418"/>
        <w:gridCol w:w="1417"/>
      </w:tblGrid>
      <w:tr w:rsidR="00EB600F" w:rsidRPr="003F4632" w:rsidTr="00414766">
        <w:trPr>
          <w:trHeight w:val="330"/>
        </w:trPr>
        <w:tc>
          <w:tcPr>
            <w:tcW w:w="12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Estrato y Clase/Uso</w:t>
            </w:r>
          </w:p>
        </w:tc>
        <w:tc>
          <w:tcPr>
            <w:tcW w:w="8391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SOACHA</w:t>
            </w:r>
          </w:p>
        </w:tc>
      </w:tr>
      <w:tr w:rsidR="00EB600F" w:rsidRPr="003F4632" w:rsidTr="00414766">
        <w:trPr>
          <w:trHeight w:val="206"/>
        </w:trPr>
        <w:tc>
          <w:tcPr>
            <w:tcW w:w="12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Servicio Acueducto</w:t>
            </w:r>
          </w:p>
        </w:tc>
        <w:tc>
          <w:tcPr>
            <w:tcW w:w="42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Servicio Alcantarillado</w:t>
            </w:r>
          </w:p>
        </w:tc>
      </w:tr>
      <w:tr w:rsidR="00EB600F" w:rsidRPr="003F4632" w:rsidTr="00414766">
        <w:trPr>
          <w:trHeight w:val="765"/>
        </w:trPr>
        <w:tc>
          <w:tcPr>
            <w:tcW w:w="12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Fijo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$/Suscriptor/mes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Cargo Básico 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No Básico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Fijo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$/Suscriptor/mes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Cargo Básico 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No Básico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$ 2.065,19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$ 954,43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$ 2.413,22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$ 975,39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$ 815,13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$ 2.401,68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$ 4.130,38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$ 1.983,67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$ 2.413,22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$ 1.950,77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$ 1.643,95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$ 2.401,68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$ 6.883,96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$ 2.413,22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$ 2.413,22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$ 3.251,29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$ 2.401,68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$ 2.401,68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$ 6.883,96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$ 2.413,22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$ 2.413,22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$ 3.251,29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$ 2.401,68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$ 2.401,68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$ 15.420,07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$ 4.392,06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$ 4.392,06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$ 8.095,71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$ 3.890,72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$ 3.890,72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$ 18.862,05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$ 4.392,06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$ 4.392,06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$ 11.249,46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$ 3.890,72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$ 3.890,72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Comercial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$ 10.325,94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$ 4.271,40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$ 4.271,40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$ 4.876,94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$ 3.818,67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$ 3.818,67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Industrial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$ 8.949,15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$ 4.392,06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$ 4.392,06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$ 4.259,19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$ 3.890,72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$ 3.890,72 </w:t>
            </w:r>
          </w:p>
        </w:tc>
      </w:tr>
      <w:tr w:rsidR="00EB600F" w:rsidRPr="003F4632" w:rsidTr="004147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Oficial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$ 6.883,96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$ 2.413,22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$ 2.413,22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$ 3.251,29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$ 2.401,68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$ 2.401,68 </w:t>
            </w:r>
          </w:p>
        </w:tc>
      </w:tr>
    </w:tbl>
    <w:p w:rsidR="00EB600F" w:rsidRDefault="00EB600F" w:rsidP="00EB600F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:rsidR="005D1928" w:rsidRDefault="005D1928" w:rsidP="00A15A6F">
      <w:pPr>
        <w:jc w:val="both"/>
        <w:rPr>
          <w:rFonts w:ascii="Arial" w:hAnsi="Arial" w:cs="Arial"/>
          <w:sz w:val="22"/>
          <w:szCs w:val="22"/>
        </w:rPr>
      </w:pPr>
    </w:p>
    <w:p w:rsidR="005D1928" w:rsidRDefault="005D1928" w:rsidP="00A15A6F">
      <w:pPr>
        <w:jc w:val="both"/>
        <w:rPr>
          <w:rFonts w:ascii="Arial" w:hAnsi="Arial" w:cs="Arial"/>
          <w:sz w:val="22"/>
          <w:szCs w:val="22"/>
        </w:rPr>
      </w:pPr>
    </w:p>
    <w:p w:rsidR="005D1928" w:rsidRDefault="005D1928" w:rsidP="00A15A6F">
      <w:pPr>
        <w:jc w:val="both"/>
        <w:rPr>
          <w:rFonts w:ascii="Arial" w:hAnsi="Arial" w:cs="Arial"/>
          <w:sz w:val="22"/>
          <w:szCs w:val="22"/>
        </w:rPr>
      </w:pPr>
    </w:p>
    <w:p w:rsidR="005D1928" w:rsidRDefault="00DF1FB2" w:rsidP="00A15A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966C2" wp14:editId="39F7FB24">
                <wp:simplePos x="0" y="0"/>
                <wp:positionH relativeFrom="column">
                  <wp:posOffset>-222885</wp:posOffset>
                </wp:positionH>
                <wp:positionV relativeFrom="paragraph">
                  <wp:posOffset>107950</wp:posOffset>
                </wp:positionV>
                <wp:extent cx="6515100" cy="7248525"/>
                <wp:effectExtent l="19050" t="1905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2485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D8677" id="Rectángulo 10" o:spid="_x0000_s1026" style="position:absolute;margin-left:-17.55pt;margin-top:8.5pt;width:513pt;height:5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" filled="f" strokecolor="black [3213]" strokeweight="2.25pt"/>
            </w:pict>
          </mc:Fallback>
        </mc:AlternateContent>
      </w:r>
    </w:p>
    <w:p w:rsidR="00A15A6F" w:rsidRPr="003E4A05" w:rsidRDefault="00A15A6F" w:rsidP="00A15A6F">
      <w:pPr>
        <w:jc w:val="both"/>
        <w:rPr>
          <w:rFonts w:ascii="Arial" w:hAnsi="Arial" w:cs="Arial"/>
          <w:sz w:val="22"/>
          <w:szCs w:val="22"/>
        </w:rPr>
      </w:pPr>
      <w:r w:rsidRPr="003E4A05">
        <w:rPr>
          <w:rFonts w:ascii="Arial" w:hAnsi="Arial" w:cs="Arial"/>
          <w:sz w:val="22"/>
          <w:szCs w:val="22"/>
        </w:rPr>
        <w:t xml:space="preserve">Cordialmente, 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445"/>
        <w:gridCol w:w="1417"/>
        <w:gridCol w:w="1276"/>
        <w:gridCol w:w="1417"/>
        <w:gridCol w:w="1418"/>
        <w:gridCol w:w="1417"/>
      </w:tblGrid>
      <w:tr w:rsidR="00EB600F" w:rsidRPr="003F4632" w:rsidTr="00414766">
        <w:trPr>
          <w:trHeight w:val="330"/>
        </w:trPr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Estrato y Clase/Uso</w:t>
            </w:r>
          </w:p>
        </w:tc>
        <w:tc>
          <w:tcPr>
            <w:tcW w:w="4138" w:type="dxa"/>
            <w:gridSpan w:val="3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GACHANCIPÁ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TOCANCIPÁ</w:t>
            </w:r>
          </w:p>
        </w:tc>
      </w:tr>
      <w:tr w:rsidR="00EB600F" w:rsidRPr="003F4632" w:rsidTr="00414766">
        <w:trPr>
          <w:trHeight w:val="330"/>
        </w:trPr>
        <w:tc>
          <w:tcPr>
            <w:tcW w:w="1244" w:type="dxa"/>
            <w:vMerge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138" w:type="dxa"/>
            <w:gridSpan w:val="3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Servicio Acueducto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Servicio Acueducto</w:t>
            </w:r>
          </w:p>
        </w:tc>
      </w:tr>
      <w:tr w:rsidR="00EB600F" w:rsidRPr="003F4632" w:rsidTr="00414766">
        <w:trPr>
          <w:trHeight w:val="765"/>
        </w:trPr>
        <w:tc>
          <w:tcPr>
            <w:tcW w:w="1244" w:type="dxa"/>
            <w:vMerge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Fijo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$/Suscriptor/mes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Cargo Básico 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No Básico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Fijo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$/Suscriptor/mes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Cargo Básico 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 No Básico</w:t>
            </w:r>
            <w:r w:rsidRPr="003F4632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$/m3</w:t>
            </w:r>
          </w:p>
        </w:tc>
      </w:tr>
      <w:tr w:rsidR="00EB600F" w:rsidRPr="003F4632" w:rsidTr="00414766">
        <w:trPr>
          <w:trHeight w:val="33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$ 5.507,17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$ 1.472,02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$ 1.840,02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$ 2.065,19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$ 512,90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$ 1.709,66 </w:t>
            </w:r>
          </w:p>
        </w:tc>
      </w:tr>
      <w:tr w:rsidR="00EB600F" w:rsidRPr="003F4632" w:rsidTr="00414766">
        <w:trPr>
          <w:trHeight w:val="33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$ 5.507,17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$ 1.472,02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$ 1.840,02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$ 4.130,38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$ 1.025,80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$ 1.709,66 </w:t>
            </w:r>
          </w:p>
        </w:tc>
      </w:tr>
      <w:tr w:rsidR="00EB600F" w:rsidRPr="003F4632" w:rsidTr="00414766">
        <w:trPr>
          <w:trHeight w:val="33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$ 6.195,56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$ 1.656,02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$ 1.840,02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$ 5.851,37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$ 1.453,21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$ 1.709,66 </w:t>
            </w:r>
          </w:p>
        </w:tc>
      </w:tr>
      <w:tr w:rsidR="00EB600F" w:rsidRPr="003F4632" w:rsidTr="00414766">
        <w:trPr>
          <w:trHeight w:val="33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$ 6.883,96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$ 1.840,02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$ 1.840,02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$ 6.883,96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$ 1.709,66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$ 1.709,66 </w:t>
            </w:r>
          </w:p>
        </w:tc>
      </w:tr>
      <w:tr w:rsidR="00EB600F" w:rsidRPr="003F4632" w:rsidTr="00414766">
        <w:trPr>
          <w:trHeight w:val="33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5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$ 10.325,94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$ 2.760,03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$ 2.760,03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$ 10.325,94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$ 2.564,49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$ 2.564,49 </w:t>
            </w:r>
          </w:p>
        </w:tc>
      </w:tr>
      <w:tr w:rsidR="00EB600F" w:rsidRPr="003F4632" w:rsidTr="00414766">
        <w:trPr>
          <w:trHeight w:val="33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Estrato 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$ 11.014,34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$ 2.944,03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$ 2.944,03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$ 11.014,34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$ 2.735,46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$ 2.735,46 </w:t>
            </w:r>
          </w:p>
        </w:tc>
      </w:tr>
      <w:tr w:rsidR="00EB600F" w:rsidRPr="003F4632" w:rsidTr="00414766">
        <w:trPr>
          <w:trHeight w:val="33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Comercial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$ 10.325,94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$ 2.760,03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$ 2.760,03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$ 10.325,94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$ 2.564,49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$ 2.564,49 </w:t>
            </w:r>
          </w:p>
        </w:tc>
      </w:tr>
      <w:tr w:rsidR="00EB600F" w:rsidRPr="003F4632" w:rsidTr="00414766">
        <w:trPr>
          <w:trHeight w:val="33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Industrial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$ 11.702,73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$ 3.128,03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$ 3.128,03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$ 9.637,54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$ 2.393,52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$ 2.393,52 </w:t>
            </w:r>
          </w:p>
        </w:tc>
      </w:tr>
      <w:tr w:rsidR="00EB600F" w:rsidRPr="003F4632" w:rsidTr="00414766">
        <w:trPr>
          <w:trHeight w:val="33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>Oficial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$ 6.883,96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$ 1.840,02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$ 1.840,02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$ 6.883,96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$ 1.709,66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600F" w:rsidRPr="003F4632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F4632">
              <w:rPr>
                <w:rFonts w:ascii="Arial" w:hAnsi="Arial" w:cs="Arial"/>
                <w:color w:val="000000"/>
                <w:lang w:eastAsia="es-CO"/>
              </w:rPr>
              <w:t xml:space="preserve"> $ 1.709,66 </w:t>
            </w:r>
          </w:p>
        </w:tc>
      </w:tr>
    </w:tbl>
    <w:p w:rsidR="00EB600F" w:rsidRDefault="00EB600F" w:rsidP="00EB600F">
      <w:pPr>
        <w:jc w:val="center"/>
        <w:rPr>
          <w:rFonts w:ascii="Arial" w:hAnsi="Arial" w:cs="Arial"/>
          <w:b/>
          <w:sz w:val="22"/>
          <w:szCs w:val="22"/>
        </w:rPr>
      </w:pPr>
    </w:p>
    <w:p w:rsidR="00EB600F" w:rsidRPr="00BA2327" w:rsidRDefault="00EB600F" w:rsidP="00EB600F">
      <w:pPr>
        <w:jc w:val="center"/>
        <w:rPr>
          <w:rFonts w:ascii="Arial" w:hAnsi="Arial" w:cs="Arial"/>
          <w:b/>
          <w:sz w:val="22"/>
          <w:szCs w:val="22"/>
        </w:rPr>
      </w:pPr>
      <w:r w:rsidRPr="00BA2327">
        <w:rPr>
          <w:rFonts w:ascii="Arial" w:hAnsi="Arial" w:cs="Arial"/>
          <w:b/>
          <w:sz w:val="22"/>
          <w:szCs w:val="22"/>
        </w:rPr>
        <w:t xml:space="preserve">Tarifas </w:t>
      </w:r>
      <w:r>
        <w:rPr>
          <w:rFonts w:ascii="Arial" w:hAnsi="Arial" w:cs="Arial"/>
          <w:b/>
          <w:sz w:val="22"/>
          <w:szCs w:val="22"/>
        </w:rPr>
        <w:t xml:space="preserve">para </w:t>
      </w:r>
      <w:r w:rsidRPr="00BA2327">
        <w:rPr>
          <w:rFonts w:ascii="Arial" w:hAnsi="Arial" w:cs="Arial"/>
          <w:b/>
          <w:sz w:val="22"/>
          <w:szCs w:val="22"/>
        </w:rPr>
        <w:t xml:space="preserve">Contratos </w:t>
      </w:r>
      <w:r>
        <w:rPr>
          <w:rFonts w:ascii="Arial" w:hAnsi="Arial" w:cs="Arial"/>
          <w:b/>
          <w:sz w:val="22"/>
          <w:szCs w:val="22"/>
        </w:rPr>
        <w:t xml:space="preserve">de Suministro de </w:t>
      </w:r>
      <w:r w:rsidRPr="00BA2327">
        <w:rPr>
          <w:rFonts w:ascii="Arial" w:hAnsi="Arial" w:cs="Arial"/>
          <w:b/>
          <w:sz w:val="22"/>
          <w:szCs w:val="22"/>
        </w:rPr>
        <w:t xml:space="preserve">Agua </w:t>
      </w:r>
      <w:r>
        <w:rPr>
          <w:rFonts w:ascii="Arial" w:hAnsi="Arial" w:cs="Arial"/>
          <w:b/>
          <w:sz w:val="22"/>
          <w:szCs w:val="22"/>
        </w:rPr>
        <w:t>e</w:t>
      </w:r>
      <w:r w:rsidRPr="00BA2327">
        <w:rPr>
          <w:rFonts w:ascii="Arial" w:hAnsi="Arial" w:cs="Arial"/>
          <w:b/>
          <w:sz w:val="22"/>
          <w:szCs w:val="22"/>
        </w:rPr>
        <w:t xml:space="preserve"> Interconexión</w:t>
      </w:r>
    </w:p>
    <w:p w:rsidR="00EB600F" w:rsidRPr="00BA2327" w:rsidRDefault="00EB600F" w:rsidP="00EB600F">
      <w:pPr>
        <w:jc w:val="center"/>
        <w:rPr>
          <w:rFonts w:ascii="Arial" w:hAnsi="Arial" w:cs="Arial"/>
          <w:bCs/>
          <w:sz w:val="22"/>
          <w:szCs w:val="22"/>
        </w:rPr>
      </w:pPr>
      <w:r w:rsidRPr="00BA2327">
        <w:rPr>
          <w:rFonts w:ascii="Arial" w:hAnsi="Arial" w:cs="Arial"/>
          <w:bCs/>
          <w:sz w:val="22"/>
          <w:szCs w:val="22"/>
        </w:rPr>
        <w:t xml:space="preserve">$ de </w:t>
      </w:r>
      <w:r>
        <w:rPr>
          <w:rFonts w:ascii="Arial" w:hAnsi="Arial" w:cs="Arial"/>
          <w:bCs/>
          <w:sz w:val="22"/>
          <w:szCs w:val="22"/>
        </w:rPr>
        <w:t>d</w:t>
      </w:r>
      <w:r w:rsidRPr="00BA2327">
        <w:rPr>
          <w:rFonts w:ascii="Arial" w:hAnsi="Arial" w:cs="Arial"/>
          <w:bCs/>
          <w:sz w:val="22"/>
          <w:szCs w:val="22"/>
        </w:rPr>
        <w:t>iciembre de 2020</w:t>
      </w:r>
    </w:p>
    <w:tbl>
      <w:tblPr>
        <w:tblW w:w="3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</w:tblGrid>
      <w:tr w:rsidR="00EB600F" w:rsidRPr="00BA2327" w:rsidTr="00414766">
        <w:trPr>
          <w:trHeight w:val="510"/>
          <w:jc w:val="center"/>
        </w:trPr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BA2327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b/>
                <w:bCs/>
                <w:color w:val="000000"/>
                <w:lang w:eastAsia="es-CO"/>
              </w:rPr>
              <w:t>Componente Tarifario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BA2327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b/>
                <w:bCs/>
                <w:color w:val="000000"/>
                <w:lang w:eastAsia="es-CO"/>
              </w:rPr>
              <w:t>Tarifa ($/m</w:t>
            </w:r>
            <w:r w:rsidRPr="00BA2327">
              <w:rPr>
                <w:rFonts w:ascii="Arial" w:hAnsi="Arial" w:cs="Arial"/>
                <w:b/>
                <w:bCs/>
                <w:color w:val="000000"/>
                <w:vertAlign w:val="superscript"/>
                <w:lang w:eastAsia="es-CO"/>
              </w:rPr>
              <w:t>3</w:t>
            </w:r>
            <w:r w:rsidRPr="00BA2327">
              <w:rPr>
                <w:rFonts w:ascii="Arial" w:hAnsi="Arial" w:cs="Arial"/>
                <w:b/>
                <w:bCs/>
                <w:color w:val="000000"/>
                <w:lang w:eastAsia="es-CO"/>
              </w:rPr>
              <w:t>)</w:t>
            </w:r>
          </w:p>
        </w:tc>
      </w:tr>
      <w:tr w:rsidR="00EB600F" w:rsidRPr="00BA2327" w:rsidTr="00414766">
        <w:trPr>
          <w:trHeight w:val="285"/>
          <w:jc w:val="center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BA2327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color w:val="000000"/>
                <w:lang w:eastAsia="es-CO"/>
              </w:rPr>
              <w:t>CMO</w:t>
            </w:r>
            <w:r w:rsidRPr="00BA2327">
              <w:rPr>
                <w:rFonts w:ascii="Arial" w:hAnsi="Arial" w:cs="Arial"/>
                <w:color w:val="000000"/>
                <w:vertAlign w:val="subscript"/>
                <w:lang w:eastAsia="es-CO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BA2327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color w:val="000000"/>
                <w:lang w:eastAsia="es-CO"/>
              </w:rPr>
              <w:t xml:space="preserve"> $       282,05 </w:t>
            </w:r>
          </w:p>
        </w:tc>
      </w:tr>
      <w:tr w:rsidR="00EB600F" w:rsidRPr="00BA2327" w:rsidTr="00414766">
        <w:trPr>
          <w:trHeight w:val="285"/>
          <w:jc w:val="center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BA2327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color w:val="000000"/>
                <w:lang w:eastAsia="es-CO"/>
              </w:rPr>
              <w:t>CMO</w:t>
            </w:r>
            <w:r w:rsidRPr="00BA2327">
              <w:rPr>
                <w:rFonts w:ascii="Arial" w:hAnsi="Arial" w:cs="Arial"/>
                <w:color w:val="000000"/>
                <w:vertAlign w:val="subscript"/>
                <w:lang w:eastAsia="es-CO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BA2327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color w:val="000000"/>
                <w:lang w:eastAsia="es-CO"/>
              </w:rPr>
              <w:t xml:space="preserve"> $       116,43 </w:t>
            </w:r>
          </w:p>
        </w:tc>
      </w:tr>
      <w:tr w:rsidR="00EB600F" w:rsidRPr="00BA2327" w:rsidTr="00414766">
        <w:trPr>
          <w:trHeight w:val="285"/>
          <w:jc w:val="center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BA2327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color w:val="000000"/>
                <w:lang w:eastAsia="es-CO"/>
              </w:rPr>
              <w:t>CMI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BA2327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color w:val="000000"/>
                <w:lang w:eastAsia="es-CO"/>
              </w:rPr>
              <w:t xml:space="preserve"> $       419,10 </w:t>
            </w:r>
          </w:p>
        </w:tc>
      </w:tr>
      <w:tr w:rsidR="00EB600F" w:rsidRPr="00BA2327" w:rsidTr="00414766">
        <w:trPr>
          <w:trHeight w:val="285"/>
          <w:jc w:val="center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BA2327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color w:val="000000"/>
                <w:lang w:eastAsia="es-CO"/>
              </w:rPr>
              <w:t>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BA2327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color w:val="000000"/>
                <w:lang w:eastAsia="es-CO"/>
              </w:rPr>
              <w:t xml:space="preserve"> $         11,72 </w:t>
            </w:r>
          </w:p>
        </w:tc>
      </w:tr>
      <w:tr w:rsidR="00EB600F" w:rsidRPr="00BA2327" w:rsidTr="0041476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BA2327" w:rsidRDefault="00EB600F" w:rsidP="00414766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b/>
                <w:bCs/>
                <w:color w:val="000000"/>
                <w:lang w:eastAsia="es-CO"/>
              </w:rPr>
              <w:t>Tarifa Contratos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600F" w:rsidRPr="00BA2327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A2327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$       829,30 </w:t>
            </w:r>
          </w:p>
        </w:tc>
      </w:tr>
    </w:tbl>
    <w:p w:rsidR="00EB600F" w:rsidRDefault="00EB600F" w:rsidP="00EB600F">
      <w:pPr>
        <w:jc w:val="center"/>
        <w:rPr>
          <w:rFonts w:ascii="Arial" w:hAnsi="Arial" w:cs="Arial"/>
          <w:bCs/>
          <w:sz w:val="22"/>
          <w:szCs w:val="22"/>
        </w:rPr>
      </w:pPr>
    </w:p>
    <w:p w:rsidR="00EB600F" w:rsidRDefault="00EB600F" w:rsidP="00EB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Tarifa para Nuevos Contratos de Suministro de agua, Contratos de Interconexión y/o Contratos de Suministro de Agua e Interconexión</w:t>
      </w: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053"/>
        <w:gridCol w:w="1073"/>
        <w:gridCol w:w="992"/>
        <w:gridCol w:w="1276"/>
      </w:tblGrid>
      <w:tr w:rsidR="00EB600F" w:rsidRPr="00653F40" w:rsidTr="00414766">
        <w:trPr>
          <w:trHeight w:val="285"/>
          <w:jc w:val="center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b/>
                <w:bCs/>
                <w:color w:val="000000"/>
                <w:lang w:eastAsia="es-CO"/>
              </w:rPr>
              <w:t>Subsistema</w:t>
            </w:r>
          </w:p>
        </w:tc>
        <w:tc>
          <w:tcPr>
            <w:tcW w:w="10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b/>
                <w:bCs/>
                <w:color w:val="000000"/>
                <w:lang w:eastAsia="es-CO"/>
              </w:rPr>
              <w:t>CMO</w:t>
            </w:r>
          </w:p>
        </w:tc>
        <w:tc>
          <w:tcPr>
            <w:tcW w:w="10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b/>
                <w:bCs/>
                <w:color w:val="000000"/>
                <w:lang w:eastAsia="es-CO"/>
              </w:rPr>
              <w:t>CMI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b/>
                <w:bCs/>
                <w:color w:val="000000"/>
                <w:lang w:eastAsia="es-CO"/>
              </w:rPr>
              <w:t>CMT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b/>
                <w:bCs/>
                <w:color w:val="000000"/>
                <w:lang w:eastAsia="es-CO"/>
              </w:rPr>
              <w:t>Tarifa</w:t>
            </w:r>
          </w:p>
        </w:tc>
      </w:tr>
      <w:tr w:rsidR="00EB600F" w:rsidRPr="00653F40" w:rsidTr="00414766">
        <w:trPr>
          <w:trHeight w:val="600"/>
          <w:jc w:val="center"/>
        </w:trPr>
        <w:tc>
          <w:tcPr>
            <w:tcW w:w="25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color w:val="000000"/>
                <w:lang w:eastAsia="es-CO"/>
              </w:rPr>
              <w:t>Costo del Subsistema de Suministro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color w:val="000000"/>
                <w:lang w:eastAsia="es-CO"/>
              </w:rPr>
              <w:t>$ 276,12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color w:val="000000"/>
                <w:lang w:eastAsia="es-CO"/>
              </w:rPr>
              <w:t>$ 301,84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color w:val="000000"/>
                <w:lang w:eastAsia="es-CO"/>
              </w:rPr>
              <w:t>$ 11,72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color w:val="000000"/>
                <w:lang w:eastAsia="es-CO"/>
              </w:rPr>
              <w:t>$ 589,68</w:t>
            </w:r>
          </w:p>
        </w:tc>
      </w:tr>
      <w:tr w:rsidR="00EB600F" w:rsidRPr="00653F40" w:rsidTr="00414766">
        <w:trPr>
          <w:trHeight w:val="600"/>
          <w:jc w:val="center"/>
        </w:trPr>
        <w:tc>
          <w:tcPr>
            <w:tcW w:w="25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rPr>
                <w:rFonts w:ascii="Arial" w:hAnsi="Arial" w:cs="Arial"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color w:val="000000"/>
                <w:lang w:eastAsia="es-CO"/>
              </w:rPr>
              <w:t>Peaje del Subsistema de Transporte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color w:val="000000"/>
                <w:lang w:eastAsia="es-CO"/>
              </w:rPr>
              <w:t>$ 141,50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color w:val="000000"/>
                <w:lang w:eastAsia="es-CO"/>
              </w:rPr>
              <w:t>$ 136,18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color w:val="000000"/>
                <w:lang w:eastAsia="es-CO"/>
              </w:rPr>
              <w:t>$ 277,68</w:t>
            </w:r>
          </w:p>
        </w:tc>
      </w:tr>
      <w:tr w:rsidR="00EB600F" w:rsidRPr="00653F40" w:rsidTr="00414766">
        <w:trPr>
          <w:trHeight w:val="600"/>
          <w:jc w:val="center"/>
        </w:trPr>
        <w:tc>
          <w:tcPr>
            <w:tcW w:w="25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4F260D" w:rsidRDefault="00EB600F" w:rsidP="00EB600F">
            <w:pPr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Contratos de Suministro e interconexión al Subsistema de Transporte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b/>
                <w:bCs/>
                <w:color w:val="000000"/>
                <w:lang w:eastAsia="es-CO"/>
              </w:rPr>
              <w:t>$ 417,62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b/>
                <w:bCs/>
                <w:color w:val="000000"/>
                <w:lang w:eastAsia="es-CO"/>
              </w:rPr>
              <w:t>$ 438,02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b/>
                <w:bCs/>
                <w:color w:val="000000"/>
                <w:lang w:eastAsia="es-CO"/>
              </w:rPr>
              <w:t>$ 11,72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600F" w:rsidRPr="00653F40" w:rsidRDefault="00EB600F" w:rsidP="0041476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653F40">
              <w:rPr>
                <w:rFonts w:ascii="Arial" w:hAnsi="Arial" w:cs="Arial"/>
                <w:b/>
                <w:bCs/>
                <w:color w:val="000000"/>
                <w:lang w:eastAsia="es-CO"/>
              </w:rPr>
              <w:t>$ 867,36</w:t>
            </w:r>
          </w:p>
        </w:tc>
      </w:tr>
    </w:tbl>
    <w:p w:rsidR="00D97B76" w:rsidRDefault="00D97B76" w:rsidP="00EB600F">
      <w:pPr>
        <w:rPr>
          <w:rFonts w:ascii="Arial" w:hAnsi="Arial" w:cs="Arial"/>
        </w:rPr>
      </w:pPr>
    </w:p>
    <w:p w:rsidR="00EB600F" w:rsidRPr="00F92B4B" w:rsidRDefault="00DF1FB2" w:rsidP="00DF1FB2">
      <w:pPr>
        <w:rPr>
          <w:rFonts w:ascii="Arial" w:hAnsi="Arial" w:cs="Arial"/>
        </w:rPr>
      </w:pPr>
      <w:r>
        <w:rPr>
          <w:rFonts w:ascii="Arial" w:hAnsi="Arial" w:cs="Arial"/>
        </w:rPr>
        <w:t>(*) Nota: Los cargos fijos y cargos por consumo con y sin incremento, podrán ser consultados en la página web de la empresa www.acueducto.com.co</w:t>
      </w:r>
    </w:p>
    <w:sectPr w:rsidR="00EB600F" w:rsidRPr="00F92B4B" w:rsidSect="00EB600F">
      <w:headerReference w:type="default" r:id="rId8"/>
      <w:footerReference w:type="default" r:id="rId9"/>
      <w:pgSz w:w="12240" w:h="15840" w:code="1"/>
      <w:pgMar w:top="2127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E0" w:rsidRDefault="00A304E0" w:rsidP="00082295">
      <w:r>
        <w:separator/>
      </w:r>
    </w:p>
  </w:endnote>
  <w:endnote w:type="continuationSeparator" w:id="0">
    <w:p w:rsidR="00A304E0" w:rsidRDefault="00A304E0" w:rsidP="000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49" w:rsidRDefault="00DD1349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592437</wp:posOffset>
              </wp:positionV>
              <wp:extent cx="1000800" cy="197511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800" cy="1975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349" w:rsidRPr="001133F6" w:rsidRDefault="00DD134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133F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1133F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FD0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801</w:t>
                          </w:r>
                          <w:r w:rsidRPr="001133F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46.65pt;width:78.8pt;height:1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" filled="f" stroked="f">
              <v:textbox>
                <w:txbxContent>
                  <w:p w:rsidR="00DD1349" w:rsidRPr="001133F6" w:rsidRDefault="00DD134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133F6">
                      <w:rPr>
                        <w:rFonts w:ascii="Arial" w:hAnsi="Arial" w:cs="Arial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</w:t>
                    </w:r>
                    <w:r w:rsidRPr="001133F6">
                      <w:rPr>
                        <w:rFonts w:ascii="Arial" w:hAnsi="Arial" w:cs="Arial"/>
                        <w:sz w:val="14"/>
                        <w:szCs w:val="14"/>
                      </w:rPr>
                      <w:t>FD0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801</w:t>
                    </w:r>
                    <w:r w:rsidRPr="001133F6">
                      <w:rPr>
                        <w:rFonts w:ascii="Arial" w:hAnsi="Arial" w:cs="Arial"/>
                        <w:sz w:val="14"/>
                        <w:szCs w:val="14"/>
                      </w:rPr>
                      <w:t>F0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1-03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>
          <wp:extent cx="6522244" cy="79057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-marca-bta-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908" cy="79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1349" w:rsidRPr="00DE0475" w:rsidRDefault="00DD134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9B7190" w:rsidRPr="009B7190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NUMPAGES  \* Arabic  \* MERGEFORMAT</w:instrTex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9B7190" w:rsidRPr="009B7190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E0" w:rsidRDefault="00A304E0" w:rsidP="00082295">
      <w:r>
        <w:separator/>
      </w:r>
    </w:p>
  </w:footnote>
  <w:footnote w:type="continuationSeparator" w:id="0">
    <w:p w:rsidR="00A304E0" w:rsidRDefault="00A304E0" w:rsidP="0008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49" w:rsidRDefault="00DD1349" w:rsidP="00082295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2520400" cy="430926"/>
          <wp:effectExtent l="0" t="0" r="0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AB 7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400" cy="430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1349" w:rsidRDefault="00DD1349" w:rsidP="00082295">
    <w:pPr>
      <w:ind w:left="7080" w:firstLine="708"/>
      <w:jc w:val="center"/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355"/>
    <w:multiLevelType w:val="hybridMultilevel"/>
    <w:tmpl w:val="4A76F2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B14"/>
    <w:multiLevelType w:val="hybridMultilevel"/>
    <w:tmpl w:val="EA1CE7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0D37"/>
    <w:multiLevelType w:val="hybridMultilevel"/>
    <w:tmpl w:val="3FA0421C"/>
    <w:lvl w:ilvl="0" w:tplc="BCBC318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0D5C"/>
    <w:multiLevelType w:val="hybridMultilevel"/>
    <w:tmpl w:val="7B5886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3FDD"/>
    <w:multiLevelType w:val="hybridMultilevel"/>
    <w:tmpl w:val="8F4238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9518D"/>
    <w:multiLevelType w:val="hybridMultilevel"/>
    <w:tmpl w:val="5D981ED4"/>
    <w:lvl w:ilvl="0" w:tplc="1CFA1B0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4ED0D1B"/>
    <w:multiLevelType w:val="hybridMultilevel"/>
    <w:tmpl w:val="E0FE2C52"/>
    <w:lvl w:ilvl="0" w:tplc="BEF8A7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127A0"/>
    <w:multiLevelType w:val="hybridMultilevel"/>
    <w:tmpl w:val="D15C3B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1370"/>
    <w:rsid w:val="000077FA"/>
    <w:rsid w:val="00031398"/>
    <w:rsid w:val="000329BC"/>
    <w:rsid w:val="00044C47"/>
    <w:rsid w:val="000671EE"/>
    <w:rsid w:val="00082295"/>
    <w:rsid w:val="000B2629"/>
    <w:rsid w:val="000C12DF"/>
    <w:rsid w:val="000C317A"/>
    <w:rsid w:val="00105C0E"/>
    <w:rsid w:val="001133F6"/>
    <w:rsid w:val="001262C7"/>
    <w:rsid w:val="0014434B"/>
    <w:rsid w:val="00174CC2"/>
    <w:rsid w:val="00187890"/>
    <w:rsid w:val="001A636D"/>
    <w:rsid w:val="001B3211"/>
    <w:rsid w:val="001B5A39"/>
    <w:rsid w:val="001F0B9F"/>
    <w:rsid w:val="001F20AF"/>
    <w:rsid w:val="00214CC8"/>
    <w:rsid w:val="00216F82"/>
    <w:rsid w:val="002421C5"/>
    <w:rsid w:val="0025166B"/>
    <w:rsid w:val="0025219C"/>
    <w:rsid w:val="002737DF"/>
    <w:rsid w:val="00275C2E"/>
    <w:rsid w:val="00291E53"/>
    <w:rsid w:val="0029788A"/>
    <w:rsid w:val="002A3907"/>
    <w:rsid w:val="002B09B4"/>
    <w:rsid w:val="003544DE"/>
    <w:rsid w:val="00360608"/>
    <w:rsid w:val="003A16F7"/>
    <w:rsid w:val="003E4A05"/>
    <w:rsid w:val="00426B5B"/>
    <w:rsid w:val="00461010"/>
    <w:rsid w:val="00480207"/>
    <w:rsid w:val="004C296F"/>
    <w:rsid w:val="004D3C73"/>
    <w:rsid w:val="004F2463"/>
    <w:rsid w:val="005015B2"/>
    <w:rsid w:val="005041E3"/>
    <w:rsid w:val="00510116"/>
    <w:rsid w:val="00535545"/>
    <w:rsid w:val="005374DF"/>
    <w:rsid w:val="005379D9"/>
    <w:rsid w:val="005463B6"/>
    <w:rsid w:val="0056133B"/>
    <w:rsid w:val="005706EC"/>
    <w:rsid w:val="00574688"/>
    <w:rsid w:val="005D1928"/>
    <w:rsid w:val="005E5E50"/>
    <w:rsid w:val="005F2218"/>
    <w:rsid w:val="00601162"/>
    <w:rsid w:val="0061710C"/>
    <w:rsid w:val="00625081"/>
    <w:rsid w:val="00636DB4"/>
    <w:rsid w:val="006A0CDA"/>
    <w:rsid w:val="006B4E2D"/>
    <w:rsid w:val="006C59A1"/>
    <w:rsid w:val="006E2629"/>
    <w:rsid w:val="006F252B"/>
    <w:rsid w:val="00744E38"/>
    <w:rsid w:val="00783CAD"/>
    <w:rsid w:val="007C3CC0"/>
    <w:rsid w:val="007E1FF7"/>
    <w:rsid w:val="007F7829"/>
    <w:rsid w:val="00800C19"/>
    <w:rsid w:val="00843D04"/>
    <w:rsid w:val="00853285"/>
    <w:rsid w:val="00865757"/>
    <w:rsid w:val="00871789"/>
    <w:rsid w:val="008958DE"/>
    <w:rsid w:val="008C379C"/>
    <w:rsid w:val="008D6CA8"/>
    <w:rsid w:val="008E64B1"/>
    <w:rsid w:val="0090089F"/>
    <w:rsid w:val="009126F8"/>
    <w:rsid w:val="00932372"/>
    <w:rsid w:val="009328FF"/>
    <w:rsid w:val="00946EEC"/>
    <w:rsid w:val="0096160C"/>
    <w:rsid w:val="009857AE"/>
    <w:rsid w:val="00991D30"/>
    <w:rsid w:val="009B43C9"/>
    <w:rsid w:val="009B66F6"/>
    <w:rsid w:val="009B7190"/>
    <w:rsid w:val="009C2E4C"/>
    <w:rsid w:val="009C5FC5"/>
    <w:rsid w:val="009C71F9"/>
    <w:rsid w:val="00A15A6F"/>
    <w:rsid w:val="00A2370B"/>
    <w:rsid w:val="00A304E0"/>
    <w:rsid w:val="00A61779"/>
    <w:rsid w:val="00A6710D"/>
    <w:rsid w:val="00A67A21"/>
    <w:rsid w:val="00AB0C3C"/>
    <w:rsid w:val="00AB550F"/>
    <w:rsid w:val="00AB69FD"/>
    <w:rsid w:val="00AE69EE"/>
    <w:rsid w:val="00B33E22"/>
    <w:rsid w:val="00B5282B"/>
    <w:rsid w:val="00BA0268"/>
    <w:rsid w:val="00BC48C8"/>
    <w:rsid w:val="00C81F1F"/>
    <w:rsid w:val="00CB0E61"/>
    <w:rsid w:val="00CB3DB8"/>
    <w:rsid w:val="00CD7101"/>
    <w:rsid w:val="00CF0DA8"/>
    <w:rsid w:val="00D51E56"/>
    <w:rsid w:val="00D62616"/>
    <w:rsid w:val="00D907BC"/>
    <w:rsid w:val="00D9505D"/>
    <w:rsid w:val="00D97B76"/>
    <w:rsid w:val="00DA3EC5"/>
    <w:rsid w:val="00DD1349"/>
    <w:rsid w:val="00DD5274"/>
    <w:rsid w:val="00DE0475"/>
    <w:rsid w:val="00DE3332"/>
    <w:rsid w:val="00DF1FB2"/>
    <w:rsid w:val="00DF486F"/>
    <w:rsid w:val="00E0385B"/>
    <w:rsid w:val="00E045CE"/>
    <w:rsid w:val="00E3655C"/>
    <w:rsid w:val="00E401DD"/>
    <w:rsid w:val="00E44FA9"/>
    <w:rsid w:val="00E577B0"/>
    <w:rsid w:val="00E62D91"/>
    <w:rsid w:val="00E954B4"/>
    <w:rsid w:val="00EB600F"/>
    <w:rsid w:val="00ED6FF9"/>
    <w:rsid w:val="00F21BA5"/>
    <w:rsid w:val="00F63B27"/>
    <w:rsid w:val="00F6763E"/>
    <w:rsid w:val="00F92B4B"/>
    <w:rsid w:val="00FC2ED6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98DE5-647F-487F-AA53-977863F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rPr>
      <w:rFonts w:ascii="Segoe UI" w:eastAsiaTheme="minorHAns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5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0C3C"/>
    <w:rPr>
      <w:color w:val="0000FF"/>
      <w:u w:val="single"/>
    </w:rPr>
  </w:style>
  <w:style w:type="character" w:customStyle="1" w:styleId="markzvgn0hlw0">
    <w:name w:val="markzvgn0hlw0"/>
    <w:basedOn w:val="Fuentedeprrafopredeter"/>
    <w:rsid w:val="00DA3EC5"/>
  </w:style>
  <w:style w:type="paragraph" w:styleId="Prrafodelista">
    <w:name w:val="List Paragraph"/>
    <w:aliases w:val="titulo 5,Bolita,Chulito,BOLADEF,BOLA,Párrafo de lista3,Párrafo de lista21,MIBEX B,Párrafo de lista2,Sin espaciado1,List Paragraph,List Paragraph1,Betulia Título 1,Con viñeta,VIÑETAS"/>
    <w:basedOn w:val="Normal"/>
    <w:link w:val="PrrafodelistaCar"/>
    <w:uiPriority w:val="34"/>
    <w:qFormat/>
    <w:rsid w:val="0025219C"/>
    <w:pPr>
      <w:ind w:left="720"/>
      <w:contextualSpacing/>
    </w:pPr>
  </w:style>
  <w:style w:type="character" w:customStyle="1" w:styleId="PrrafodelistaCar">
    <w:name w:val="Párrafo de lista Car"/>
    <w:aliases w:val="titulo 5 Car,Bolita Car,Chulito Car,BOLADEF Car,BOLA Car,Párrafo de lista3 Car,Párrafo de lista21 Car,MIBEX B Car,Párrafo de lista2 Car,Sin espaciado1 Car,List Paragraph Car,List Paragraph1 Car,Betulia Título 1 Car,Con viñeta Car"/>
    <w:link w:val="Prrafodelista"/>
    <w:uiPriority w:val="34"/>
    <w:rsid w:val="000C317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Charlot Gomez Prieto</dc:creator>
  <cp:keywords/>
  <dc:description/>
  <cp:lastModifiedBy>Helbert Yesid Rojas Guerrero</cp:lastModifiedBy>
  <cp:revision>39</cp:revision>
  <cp:lastPrinted>2020-01-03T21:02:00Z</cp:lastPrinted>
  <dcterms:created xsi:type="dcterms:W3CDTF">2020-02-20T20:36:00Z</dcterms:created>
  <dcterms:modified xsi:type="dcterms:W3CDTF">2020-12-30T21:53:00Z</dcterms:modified>
</cp:coreProperties>
</file>