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2B9B" w:rsidRPr="00122B9B" w:rsidRDefault="00122B9B" w:rsidP="00EC15CE">
      <w:pPr>
        <w:jc w:val="center"/>
        <w:rPr>
          <w:b/>
          <w:sz w:val="28"/>
          <w:szCs w:val="28"/>
        </w:rPr>
      </w:pPr>
      <w:bookmarkStart w:id="0" w:name="_GoBack"/>
      <w:bookmarkEnd w:id="0"/>
      <w:r w:rsidRPr="00122B9B">
        <w:rPr>
          <w:b/>
          <w:sz w:val="28"/>
          <w:szCs w:val="28"/>
        </w:rPr>
        <w:t>E</w:t>
      </w:r>
      <w:r w:rsidR="00D264A2">
        <w:rPr>
          <w:b/>
          <w:sz w:val="28"/>
          <w:szCs w:val="28"/>
        </w:rPr>
        <w:t xml:space="preserve">MPRESA DE ACUEDUCTO Y ALCANTARILLADO DE BOGOTÁ </w:t>
      </w:r>
      <w:r w:rsidRPr="00122B9B">
        <w:rPr>
          <w:b/>
          <w:sz w:val="28"/>
          <w:szCs w:val="28"/>
        </w:rPr>
        <w:t>-</w:t>
      </w:r>
      <w:r w:rsidR="00D264A2">
        <w:rPr>
          <w:b/>
          <w:sz w:val="28"/>
          <w:szCs w:val="28"/>
        </w:rPr>
        <w:t xml:space="preserve"> </w:t>
      </w:r>
      <w:r w:rsidRPr="00122B9B">
        <w:rPr>
          <w:b/>
          <w:sz w:val="28"/>
          <w:szCs w:val="28"/>
        </w:rPr>
        <w:t>ESP</w:t>
      </w:r>
    </w:p>
    <w:p w:rsidR="00433C31" w:rsidRPr="00122B9B" w:rsidRDefault="00433C31" w:rsidP="00EC15CE">
      <w:pPr>
        <w:jc w:val="center"/>
        <w:rPr>
          <w:b/>
          <w:sz w:val="28"/>
          <w:szCs w:val="28"/>
        </w:rPr>
      </w:pPr>
      <w:r w:rsidRPr="00122B9B">
        <w:rPr>
          <w:b/>
          <w:sz w:val="28"/>
          <w:szCs w:val="28"/>
        </w:rPr>
        <w:t>OFICI</w:t>
      </w:r>
      <w:r w:rsidR="00924FF2">
        <w:rPr>
          <w:b/>
          <w:sz w:val="28"/>
          <w:szCs w:val="28"/>
        </w:rPr>
        <w:t>NA DE CONTROL INTERNO Y GESTIÓN</w:t>
      </w:r>
    </w:p>
    <w:p w:rsidR="00D264A2" w:rsidRDefault="00EC15CE" w:rsidP="00EC15CE">
      <w:pPr>
        <w:jc w:val="center"/>
        <w:rPr>
          <w:b/>
          <w:sz w:val="28"/>
          <w:szCs w:val="28"/>
        </w:rPr>
      </w:pPr>
      <w:r w:rsidRPr="00122B9B">
        <w:rPr>
          <w:b/>
          <w:sz w:val="28"/>
          <w:szCs w:val="28"/>
        </w:rPr>
        <w:t>INFO</w:t>
      </w:r>
      <w:r w:rsidR="00924FF2">
        <w:rPr>
          <w:b/>
          <w:sz w:val="28"/>
          <w:szCs w:val="28"/>
        </w:rPr>
        <w:t>RME DE EVALUACIÓN INDEPENDIENTE</w:t>
      </w:r>
      <w:r w:rsidR="00D264A2">
        <w:rPr>
          <w:b/>
          <w:sz w:val="28"/>
          <w:szCs w:val="28"/>
        </w:rPr>
        <w:t xml:space="preserve"> DEL ESTADO DEL </w:t>
      </w:r>
      <w:r w:rsidRPr="00122B9B">
        <w:rPr>
          <w:b/>
          <w:sz w:val="28"/>
          <w:szCs w:val="28"/>
        </w:rPr>
        <w:t>SISTEMA DE CONTROL INT</w:t>
      </w:r>
      <w:r w:rsidR="00433C31" w:rsidRPr="00122B9B">
        <w:rPr>
          <w:b/>
          <w:sz w:val="28"/>
          <w:szCs w:val="28"/>
        </w:rPr>
        <w:t>ERNO</w:t>
      </w:r>
    </w:p>
    <w:p w:rsidR="00041C1C" w:rsidRPr="00122B9B" w:rsidRDefault="00122B9B" w:rsidP="00EC15CE">
      <w:pPr>
        <w:jc w:val="center"/>
        <w:rPr>
          <w:b/>
          <w:sz w:val="28"/>
          <w:szCs w:val="28"/>
        </w:rPr>
      </w:pPr>
      <w:r w:rsidRPr="00122B9B">
        <w:rPr>
          <w:b/>
          <w:sz w:val="28"/>
          <w:szCs w:val="28"/>
        </w:rPr>
        <w:t>NOVIEMBRE-DICIEMBRE 2019</w:t>
      </w:r>
    </w:p>
    <w:p w:rsidR="00EC15CE" w:rsidRDefault="00EC15CE" w:rsidP="00D264A2">
      <w:pPr>
        <w:spacing w:after="0" w:line="240" w:lineRule="auto"/>
        <w:jc w:val="center"/>
        <w:rPr>
          <w:sz w:val="28"/>
          <w:szCs w:val="28"/>
        </w:rPr>
      </w:pPr>
    </w:p>
    <w:p w:rsidR="00B818F5" w:rsidRPr="0078199A" w:rsidRDefault="00B818F5" w:rsidP="00503F1E">
      <w:pPr>
        <w:autoSpaceDE w:val="0"/>
        <w:autoSpaceDN w:val="0"/>
        <w:adjustRightInd w:val="0"/>
        <w:spacing w:after="0" w:line="240" w:lineRule="auto"/>
        <w:jc w:val="both"/>
        <w:rPr>
          <w:rFonts w:ascii="Arial" w:hAnsi="Arial" w:cs="Arial"/>
          <w:color w:val="000000"/>
          <w:sz w:val="24"/>
          <w:szCs w:val="24"/>
        </w:rPr>
      </w:pPr>
      <w:r w:rsidRPr="0078199A">
        <w:rPr>
          <w:rFonts w:ascii="Arial" w:hAnsi="Arial" w:cs="Arial"/>
          <w:color w:val="000000"/>
          <w:sz w:val="24"/>
          <w:szCs w:val="24"/>
        </w:rPr>
        <w:t xml:space="preserve">De acuerdo con lo establecido en el Decreto 2106 de 2019, el Decreto Distrital 807 de 2019 y la Circular Externa 06 de 2019 del Departamento Administrativo de la Función Pública, se elabora </w:t>
      </w:r>
      <w:r w:rsidR="00BA650F" w:rsidRPr="0078199A">
        <w:rPr>
          <w:rFonts w:ascii="Arial" w:hAnsi="Arial" w:cs="Arial"/>
          <w:color w:val="000000"/>
          <w:sz w:val="24"/>
          <w:szCs w:val="24"/>
        </w:rPr>
        <w:t xml:space="preserve">y publica en la página WEB de la EAAB-ESP </w:t>
      </w:r>
      <w:r w:rsidRPr="0078199A">
        <w:rPr>
          <w:rFonts w:ascii="Arial" w:hAnsi="Arial" w:cs="Arial"/>
          <w:color w:val="000000"/>
          <w:sz w:val="24"/>
          <w:szCs w:val="24"/>
        </w:rPr>
        <w:t>el presente Informe de evaluación independiente del estado del sistema de control interno</w:t>
      </w:r>
      <w:r w:rsidR="00BA650F" w:rsidRPr="0078199A">
        <w:rPr>
          <w:rFonts w:ascii="Arial" w:hAnsi="Arial" w:cs="Arial"/>
          <w:color w:val="000000"/>
          <w:sz w:val="24"/>
          <w:szCs w:val="24"/>
        </w:rPr>
        <w:t>.</w:t>
      </w:r>
    </w:p>
    <w:p w:rsidR="00B818F5" w:rsidRPr="00A44284" w:rsidRDefault="00B818F5" w:rsidP="00B818F5">
      <w:pPr>
        <w:autoSpaceDE w:val="0"/>
        <w:autoSpaceDN w:val="0"/>
        <w:adjustRightInd w:val="0"/>
        <w:spacing w:after="0" w:line="240" w:lineRule="auto"/>
        <w:jc w:val="both"/>
        <w:rPr>
          <w:sz w:val="18"/>
          <w:szCs w:val="18"/>
        </w:rPr>
      </w:pPr>
    </w:p>
    <w:p w:rsidR="00433C31" w:rsidRPr="005F3A65" w:rsidRDefault="005F3A65" w:rsidP="00022765">
      <w:pPr>
        <w:pStyle w:val="Prrafodelista"/>
        <w:numPr>
          <w:ilvl w:val="0"/>
          <w:numId w:val="1"/>
        </w:numPr>
        <w:ind w:left="426" w:hanging="426"/>
        <w:jc w:val="both"/>
        <w:rPr>
          <w:b/>
          <w:sz w:val="28"/>
          <w:szCs w:val="28"/>
        </w:rPr>
      </w:pPr>
      <w:r w:rsidRPr="005F3A65">
        <w:rPr>
          <w:b/>
          <w:sz w:val="28"/>
          <w:szCs w:val="28"/>
        </w:rPr>
        <w:t>AMBIENTE DE CONTROL</w:t>
      </w:r>
    </w:p>
    <w:p w:rsidR="00433C31" w:rsidRDefault="00054848" w:rsidP="007E7F82">
      <w:pPr>
        <w:pStyle w:val="Prrafodelista"/>
        <w:ind w:left="0"/>
        <w:jc w:val="both"/>
        <w:rPr>
          <w:sz w:val="28"/>
          <w:szCs w:val="28"/>
        </w:rPr>
      </w:pPr>
      <w:r w:rsidRPr="00D53364">
        <w:rPr>
          <w:sz w:val="28"/>
          <w:szCs w:val="28"/>
        </w:rPr>
        <w:t>1.</w:t>
      </w:r>
      <w:r w:rsidR="003B0B8B">
        <w:rPr>
          <w:sz w:val="28"/>
          <w:szCs w:val="28"/>
        </w:rPr>
        <w:t>1</w:t>
      </w:r>
      <w:r w:rsidRPr="00D53364">
        <w:rPr>
          <w:sz w:val="28"/>
          <w:szCs w:val="28"/>
        </w:rPr>
        <w:t>.</w:t>
      </w:r>
      <w:r w:rsidR="00BA650F">
        <w:rPr>
          <w:sz w:val="28"/>
          <w:szCs w:val="28"/>
        </w:rPr>
        <w:t xml:space="preserve"> </w:t>
      </w:r>
      <w:r w:rsidR="00433C31" w:rsidRPr="00D53364">
        <w:rPr>
          <w:sz w:val="28"/>
          <w:szCs w:val="28"/>
        </w:rPr>
        <w:t>MIPG IMPLEMENTACION</w:t>
      </w:r>
    </w:p>
    <w:p w:rsidR="00BA7C27" w:rsidRPr="0011406F" w:rsidRDefault="0011406F" w:rsidP="0011406F">
      <w:pPr>
        <w:pStyle w:val="Prrafodelista"/>
        <w:numPr>
          <w:ilvl w:val="0"/>
          <w:numId w:val="22"/>
        </w:numPr>
        <w:jc w:val="both"/>
        <w:rPr>
          <w:b/>
          <w:sz w:val="28"/>
          <w:szCs w:val="28"/>
        </w:rPr>
      </w:pPr>
      <w:r w:rsidRPr="0011406F">
        <w:rPr>
          <w:b/>
          <w:sz w:val="28"/>
          <w:szCs w:val="28"/>
        </w:rPr>
        <w:t>Implementación “ACT</w:t>
      </w:r>
      <w:r w:rsidR="00BA650F">
        <w:rPr>
          <w:b/>
          <w:sz w:val="28"/>
          <w:szCs w:val="28"/>
        </w:rPr>
        <w:t>Ú</w:t>
      </w:r>
      <w:r w:rsidRPr="0011406F">
        <w:rPr>
          <w:b/>
          <w:sz w:val="28"/>
          <w:szCs w:val="28"/>
        </w:rPr>
        <w:t>O LO QUE PIENSO”.</w:t>
      </w:r>
    </w:p>
    <w:p w:rsidR="0011406F" w:rsidRDefault="0011406F" w:rsidP="00433C31">
      <w:pPr>
        <w:pStyle w:val="Prrafodelista"/>
        <w:jc w:val="both"/>
      </w:pPr>
      <w:r>
        <w:t>A continuación, se presenta el esquema de las líneas de defensa del Modelo Integrado de Planeación y Gestión (MIPG) y el alcance en cada una de ellas en la EAAB-ESP:</w:t>
      </w:r>
    </w:p>
    <w:p w:rsidR="0011406F" w:rsidRDefault="0011406F" w:rsidP="00433C31">
      <w:pPr>
        <w:pStyle w:val="Prrafodelista"/>
        <w:jc w:val="both"/>
        <w:rPr>
          <w:sz w:val="28"/>
          <w:szCs w:val="28"/>
        </w:rPr>
      </w:pPr>
      <w:r w:rsidRPr="0011406F">
        <w:rPr>
          <w:noProof/>
          <w:sz w:val="28"/>
          <w:szCs w:val="28"/>
          <w:lang w:eastAsia="es-CO"/>
        </w:rPr>
        <w:drawing>
          <wp:inline distT="0" distB="0" distL="0" distR="0">
            <wp:extent cx="5612130" cy="3392982"/>
            <wp:effectExtent l="0" t="0" r="762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2130" cy="3392982"/>
                    </a:xfrm>
                    <a:prstGeom prst="rect">
                      <a:avLst/>
                    </a:prstGeom>
                    <a:noFill/>
                    <a:ln>
                      <a:noFill/>
                    </a:ln>
                  </pic:spPr>
                </pic:pic>
              </a:graphicData>
            </a:graphic>
          </wp:inline>
        </w:drawing>
      </w:r>
    </w:p>
    <w:p w:rsidR="0011406F" w:rsidRDefault="0011406F" w:rsidP="00433C31">
      <w:pPr>
        <w:pStyle w:val="Prrafodelista"/>
        <w:jc w:val="both"/>
        <w:rPr>
          <w:sz w:val="28"/>
          <w:szCs w:val="28"/>
        </w:rPr>
      </w:pPr>
    </w:p>
    <w:p w:rsidR="0011406F" w:rsidRDefault="0011406F" w:rsidP="00BA650F">
      <w:pPr>
        <w:pStyle w:val="Ttulo2"/>
        <w:spacing w:after="120"/>
        <w:jc w:val="both"/>
        <w:rPr>
          <w:b w:val="0"/>
          <w:sz w:val="20"/>
        </w:rPr>
      </w:pPr>
      <w:r w:rsidRPr="0011406F">
        <w:rPr>
          <w:b w:val="0"/>
        </w:rPr>
        <w:t>Los líderes de la segunda línea de defensa (monitoreo) para cada una de las políticas de MIPG estará</w:t>
      </w:r>
      <w:r w:rsidR="00BA650F">
        <w:rPr>
          <w:b w:val="0"/>
        </w:rPr>
        <w:t>n</w:t>
      </w:r>
      <w:r w:rsidRPr="0011406F">
        <w:rPr>
          <w:b w:val="0"/>
        </w:rPr>
        <w:t xml:space="preserve"> a cargo de la Gerencia Corporativa de Planeamiento y </w:t>
      </w:r>
      <w:r w:rsidRPr="0011406F">
        <w:rPr>
          <w:b w:val="0"/>
        </w:rPr>
        <w:lastRenderedPageBreak/>
        <w:t>Control a través de la Dirección Gestión de Calidad y Procesos y Dirección de Planeación y Control de Resultados</w:t>
      </w:r>
      <w:r>
        <w:rPr>
          <w:b w:val="0"/>
        </w:rPr>
        <w:t xml:space="preserve"> Corporativos</w:t>
      </w:r>
      <w:r w:rsidRPr="0011406F">
        <w:rPr>
          <w:b w:val="0"/>
          <w:sz w:val="20"/>
        </w:rPr>
        <w:t>.</w:t>
      </w:r>
    </w:p>
    <w:p w:rsidR="0011406F" w:rsidRPr="00BA650F" w:rsidRDefault="0011406F" w:rsidP="00BA650F">
      <w:pPr>
        <w:pStyle w:val="Ttulo2"/>
        <w:spacing w:after="120"/>
        <w:jc w:val="both"/>
        <w:rPr>
          <w:b w:val="0"/>
        </w:rPr>
      </w:pPr>
      <w:r w:rsidRPr="00BA650F">
        <w:rPr>
          <w:b w:val="0"/>
        </w:rPr>
        <w:t xml:space="preserve">Las </w:t>
      </w:r>
      <w:r w:rsidR="00BA650F" w:rsidRPr="00BA650F">
        <w:rPr>
          <w:b w:val="0"/>
        </w:rPr>
        <w:t xml:space="preserve">Direcciones </w:t>
      </w:r>
      <w:r w:rsidRPr="00BA650F">
        <w:rPr>
          <w:b w:val="0"/>
        </w:rPr>
        <w:t>de Gestión de Calidad y Procesos y Planeación y Control de Resultados Corporativos (segunda línea de defensa) realizan el monitoreo verificando cada uno de los soportes recibidos con el medio de verificación y productos establecidos en cada una de las actividades de los diferentes planes.</w:t>
      </w:r>
    </w:p>
    <w:p w:rsidR="00AC0F8B" w:rsidRPr="007E7F82" w:rsidRDefault="0011406F" w:rsidP="007E7F82">
      <w:pPr>
        <w:autoSpaceDE w:val="0"/>
        <w:autoSpaceDN w:val="0"/>
        <w:adjustRightInd w:val="0"/>
        <w:spacing w:after="0" w:line="240" w:lineRule="auto"/>
        <w:jc w:val="both"/>
        <w:rPr>
          <w:rFonts w:ascii="Arial" w:hAnsi="Arial" w:cs="Arial"/>
          <w:color w:val="000000"/>
          <w:sz w:val="24"/>
          <w:szCs w:val="24"/>
        </w:rPr>
      </w:pPr>
      <w:r w:rsidRPr="007E7F82">
        <w:rPr>
          <w:rFonts w:ascii="Arial" w:hAnsi="Arial" w:cs="Arial"/>
          <w:b/>
          <w:color w:val="000000"/>
          <w:sz w:val="24"/>
          <w:szCs w:val="24"/>
        </w:rPr>
        <w:t xml:space="preserve">El </w:t>
      </w:r>
      <w:r w:rsidRPr="007E7F82">
        <w:rPr>
          <w:rFonts w:ascii="Arial" w:hAnsi="Arial" w:cs="Arial"/>
          <w:b/>
          <w:bCs/>
          <w:color w:val="000000"/>
          <w:sz w:val="24"/>
          <w:szCs w:val="24"/>
        </w:rPr>
        <w:t xml:space="preserve">Plan de Adecuación y Sostenibilidad del SIG - MIPG 2019 </w:t>
      </w:r>
      <w:r w:rsidRPr="007E7F82">
        <w:rPr>
          <w:rFonts w:ascii="Arial" w:hAnsi="Arial" w:cs="Arial"/>
          <w:color w:val="000000"/>
          <w:sz w:val="24"/>
          <w:szCs w:val="24"/>
        </w:rPr>
        <w:t xml:space="preserve">contiene 26 actividades para ejecutar en el 2019. A continuación, se presentan los resultados </w:t>
      </w:r>
      <w:r w:rsidR="007E7F82">
        <w:rPr>
          <w:rFonts w:ascii="Arial" w:hAnsi="Arial" w:cs="Arial"/>
          <w:color w:val="000000"/>
          <w:sz w:val="24"/>
          <w:szCs w:val="24"/>
        </w:rPr>
        <w:t xml:space="preserve">obtenidos </w:t>
      </w:r>
      <w:r w:rsidRPr="007E7F82">
        <w:rPr>
          <w:rFonts w:ascii="Arial" w:hAnsi="Arial" w:cs="Arial"/>
          <w:color w:val="000000"/>
          <w:sz w:val="24"/>
          <w:szCs w:val="24"/>
        </w:rPr>
        <w:t>del monitoreo eje</w:t>
      </w:r>
      <w:r w:rsidR="00AC0F8B" w:rsidRPr="007E7F82">
        <w:rPr>
          <w:rFonts w:ascii="Arial" w:hAnsi="Arial" w:cs="Arial"/>
          <w:color w:val="000000"/>
          <w:sz w:val="24"/>
          <w:szCs w:val="24"/>
        </w:rPr>
        <w:t>cutado en el aplicativo ARCHER</w:t>
      </w:r>
      <w:r w:rsidR="007E7F82">
        <w:rPr>
          <w:rFonts w:ascii="Arial" w:hAnsi="Arial" w:cs="Arial"/>
          <w:color w:val="000000"/>
          <w:sz w:val="24"/>
          <w:szCs w:val="24"/>
        </w:rPr>
        <w:t xml:space="preserve"> </w:t>
      </w:r>
      <w:r w:rsidR="00AC0F8B" w:rsidRPr="007E7F82">
        <w:rPr>
          <w:rFonts w:ascii="Arial" w:hAnsi="Arial" w:cs="Arial"/>
          <w:color w:val="000000"/>
          <w:sz w:val="24"/>
          <w:szCs w:val="24"/>
        </w:rPr>
        <w:t>a 31-12-</w:t>
      </w:r>
      <w:r w:rsidR="007E7F82">
        <w:rPr>
          <w:rFonts w:ascii="Arial" w:hAnsi="Arial" w:cs="Arial"/>
          <w:color w:val="000000"/>
          <w:sz w:val="24"/>
          <w:szCs w:val="24"/>
        </w:rPr>
        <w:t>20</w:t>
      </w:r>
      <w:r w:rsidR="00AC0F8B" w:rsidRPr="007E7F82">
        <w:rPr>
          <w:rFonts w:ascii="Arial" w:hAnsi="Arial" w:cs="Arial"/>
          <w:color w:val="000000"/>
          <w:sz w:val="24"/>
          <w:szCs w:val="24"/>
        </w:rPr>
        <w:t>19</w:t>
      </w:r>
      <w:r w:rsidR="007E7F82">
        <w:rPr>
          <w:rFonts w:ascii="Arial" w:hAnsi="Arial" w:cs="Arial"/>
          <w:color w:val="000000"/>
          <w:sz w:val="24"/>
          <w:szCs w:val="24"/>
        </w:rPr>
        <w:t>:</w:t>
      </w:r>
    </w:p>
    <w:p w:rsidR="00AC0F8B" w:rsidRDefault="00AC0F8B" w:rsidP="00AC0F8B">
      <w:pPr>
        <w:autoSpaceDE w:val="0"/>
        <w:autoSpaceDN w:val="0"/>
        <w:adjustRightInd w:val="0"/>
        <w:spacing w:after="0" w:line="240" w:lineRule="auto"/>
        <w:rPr>
          <w:rFonts w:ascii="Century Gothic" w:hAnsi="Century Gothic" w:cs="Century Gothic"/>
          <w:color w:val="000000"/>
        </w:rPr>
      </w:pPr>
    </w:p>
    <w:p w:rsidR="00AC0F8B" w:rsidRDefault="00AC0F8B" w:rsidP="00AC0F8B">
      <w:pPr>
        <w:autoSpaceDE w:val="0"/>
        <w:autoSpaceDN w:val="0"/>
        <w:adjustRightInd w:val="0"/>
        <w:spacing w:after="0" w:line="240" w:lineRule="auto"/>
        <w:jc w:val="center"/>
        <w:rPr>
          <w:rFonts w:ascii="Century Gothic" w:hAnsi="Century Gothic" w:cs="Century Gothic"/>
          <w:color w:val="000000"/>
        </w:rPr>
      </w:pPr>
      <w:r>
        <w:rPr>
          <w:noProof/>
          <w:lang w:eastAsia="es-CO"/>
        </w:rPr>
        <w:drawing>
          <wp:inline distT="0" distB="0" distL="0" distR="0" wp14:anchorId="46E77E98" wp14:editId="2BF1484C">
            <wp:extent cx="2952750" cy="2238375"/>
            <wp:effectExtent l="0" t="0" r="0" b="9525"/>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952750" cy="2238375"/>
                    </a:xfrm>
                    <a:prstGeom prst="rect">
                      <a:avLst/>
                    </a:prstGeom>
                  </pic:spPr>
                </pic:pic>
              </a:graphicData>
            </a:graphic>
          </wp:inline>
        </w:drawing>
      </w:r>
    </w:p>
    <w:p w:rsidR="00AC0F8B" w:rsidRDefault="00AC0F8B" w:rsidP="00A44284">
      <w:pPr>
        <w:autoSpaceDE w:val="0"/>
        <w:autoSpaceDN w:val="0"/>
        <w:adjustRightInd w:val="0"/>
        <w:spacing w:after="120" w:line="240" w:lineRule="auto"/>
        <w:jc w:val="center"/>
        <w:rPr>
          <w:rFonts w:ascii="Century Gothic" w:hAnsi="Century Gothic" w:cs="Century Gothic"/>
          <w:color w:val="000000"/>
        </w:rPr>
      </w:pPr>
      <w:r>
        <w:rPr>
          <w:sz w:val="18"/>
          <w:szCs w:val="18"/>
        </w:rPr>
        <w:t>Fuente: Gerencia Corporativa de Planeamiento y Control.</w:t>
      </w:r>
    </w:p>
    <w:p w:rsidR="00AC0F8B" w:rsidRPr="007E7F82" w:rsidRDefault="00AC0F8B" w:rsidP="007E7F82">
      <w:pPr>
        <w:autoSpaceDE w:val="0"/>
        <w:autoSpaceDN w:val="0"/>
        <w:adjustRightInd w:val="0"/>
        <w:spacing w:after="0" w:line="240" w:lineRule="auto"/>
        <w:jc w:val="both"/>
        <w:rPr>
          <w:rFonts w:ascii="Arial" w:hAnsi="Arial" w:cs="Arial"/>
          <w:color w:val="000000"/>
          <w:sz w:val="24"/>
          <w:szCs w:val="24"/>
        </w:rPr>
      </w:pPr>
      <w:r w:rsidRPr="007E7F82">
        <w:rPr>
          <w:rFonts w:ascii="Arial" w:hAnsi="Arial" w:cs="Arial"/>
          <w:color w:val="000000"/>
          <w:sz w:val="24"/>
          <w:szCs w:val="24"/>
        </w:rPr>
        <w:t xml:space="preserve">Ahora bien, es preciso aclarar que las 26 actividades programadas en el </w:t>
      </w:r>
      <w:r w:rsidRPr="007E7F82">
        <w:rPr>
          <w:rFonts w:ascii="Arial" w:hAnsi="Arial" w:cs="Arial"/>
          <w:b/>
          <w:bCs/>
          <w:color w:val="000000"/>
          <w:sz w:val="24"/>
          <w:szCs w:val="24"/>
        </w:rPr>
        <w:t xml:space="preserve">Plan de Adecuación y Sostenibilidad del SIG - MIPG 2019 </w:t>
      </w:r>
      <w:r w:rsidRPr="007E7F82">
        <w:rPr>
          <w:rFonts w:ascii="Arial" w:hAnsi="Arial" w:cs="Arial"/>
          <w:color w:val="000000"/>
          <w:sz w:val="24"/>
          <w:szCs w:val="24"/>
        </w:rPr>
        <w:t xml:space="preserve">están conformadas a su vez por las actividades que hacen parte de los </w:t>
      </w:r>
      <w:r w:rsidRPr="007E7F82">
        <w:rPr>
          <w:rFonts w:ascii="Arial" w:hAnsi="Arial" w:cs="Arial"/>
          <w:b/>
          <w:bCs/>
          <w:color w:val="000000"/>
          <w:sz w:val="24"/>
          <w:szCs w:val="24"/>
        </w:rPr>
        <w:t>Planes de Acción Institucionales (Decreto 612</w:t>
      </w:r>
      <w:r w:rsidR="007E7F82">
        <w:rPr>
          <w:rFonts w:ascii="Arial" w:hAnsi="Arial" w:cs="Arial"/>
          <w:b/>
          <w:bCs/>
          <w:color w:val="000000"/>
          <w:sz w:val="24"/>
          <w:szCs w:val="24"/>
        </w:rPr>
        <w:t xml:space="preserve"> de 2018</w:t>
      </w:r>
      <w:r w:rsidRPr="007E7F82">
        <w:rPr>
          <w:rFonts w:ascii="Arial" w:hAnsi="Arial" w:cs="Arial"/>
          <w:b/>
          <w:bCs/>
          <w:color w:val="000000"/>
          <w:sz w:val="24"/>
          <w:szCs w:val="24"/>
        </w:rPr>
        <w:t xml:space="preserve">), </w:t>
      </w:r>
      <w:r w:rsidRPr="007E7F82">
        <w:rPr>
          <w:rFonts w:ascii="Arial" w:hAnsi="Arial" w:cs="Arial"/>
          <w:color w:val="000000"/>
          <w:sz w:val="24"/>
          <w:szCs w:val="24"/>
        </w:rPr>
        <w:t>es decir que el total de actividades detalladas de los planes institucionales son 331 con ejecución en el año 2019. Es así como de enero a diciembre se cumplieron 330 actividades de 331 logrando un cumplimiento del 99.7% para el cuarto trimestre de 2019.</w:t>
      </w:r>
    </w:p>
    <w:p w:rsidR="00AC0F8B" w:rsidRDefault="00AC0F8B" w:rsidP="00AC0F8B">
      <w:pPr>
        <w:autoSpaceDE w:val="0"/>
        <w:autoSpaceDN w:val="0"/>
        <w:adjustRightInd w:val="0"/>
        <w:spacing w:after="0" w:line="240" w:lineRule="auto"/>
        <w:rPr>
          <w:rFonts w:ascii="Century Gothic" w:hAnsi="Century Gothic" w:cs="Century Gothic"/>
          <w:color w:val="000000"/>
        </w:rPr>
      </w:pPr>
    </w:p>
    <w:p w:rsidR="00AC0F8B" w:rsidRDefault="00AC0F8B" w:rsidP="00AC0F8B">
      <w:pPr>
        <w:autoSpaceDE w:val="0"/>
        <w:autoSpaceDN w:val="0"/>
        <w:adjustRightInd w:val="0"/>
        <w:spacing w:after="0" w:line="240" w:lineRule="auto"/>
        <w:rPr>
          <w:rFonts w:ascii="Century Gothic" w:hAnsi="Century Gothic" w:cs="Century Gothic"/>
          <w:color w:val="000000"/>
        </w:rPr>
      </w:pPr>
      <w:r>
        <w:rPr>
          <w:noProof/>
          <w:lang w:eastAsia="es-CO"/>
        </w:rPr>
        <w:drawing>
          <wp:inline distT="0" distB="0" distL="0" distR="0" wp14:anchorId="1D0764E2" wp14:editId="0C6BB242">
            <wp:extent cx="5612130" cy="2162810"/>
            <wp:effectExtent l="0" t="0" r="7620" b="889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612130" cy="2162810"/>
                    </a:xfrm>
                    <a:prstGeom prst="rect">
                      <a:avLst/>
                    </a:prstGeom>
                  </pic:spPr>
                </pic:pic>
              </a:graphicData>
            </a:graphic>
          </wp:inline>
        </w:drawing>
      </w:r>
    </w:p>
    <w:p w:rsidR="00C9457E" w:rsidRPr="00D53364" w:rsidRDefault="00AC0F8B" w:rsidP="00C9457E">
      <w:pPr>
        <w:autoSpaceDE w:val="0"/>
        <w:autoSpaceDN w:val="0"/>
        <w:adjustRightInd w:val="0"/>
        <w:spacing w:after="0" w:line="240" w:lineRule="auto"/>
        <w:rPr>
          <w:rFonts w:ascii="Century Gothic" w:hAnsi="Century Gothic" w:cs="Century Gothic"/>
          <w:color w:val="000000"/>
        </w:rPr>
      </w:pPr>
      <w:r>
        <w:rPr>
          <w:sz w:val="18"/>
          <w:szCs w:val="18"/>
        </w:rPr>
        <w:t>Fuente: Gerencia Corporativa de Planeamiento y Control</w:t>
      </w:r>
    </w:p>
    <w:p w:rsidR="005D6408" w:rsidRDefault="005D6408" w:rsidP="00433C31">
      <w:pPr>
        <w:pStyle w:val="Prrafodelista"/>
        <w:jc w:val="both"/>
        <w:rPr>
          <w:sz w:val="28"/>
          <w:szCs w:val="28"/>
        </w:rPr>
      </w:pPr>
    </w:p>
    <w:p w:rsidR="003F5CA8" w:rsidRDefault="003F5CA8" w:rsidP="007E7F82">
      <w:pPr>
        <w:pStyle w:val="Prrafodelista"/>
        <w:ind w:left="0"/>
        <w:jc w:val="both"/>
        <w:rPr>
          <w:sz w:val="28"/>
          <w:szCs w:val="28"/>
        </w:rPr>
      </w:pPr>
      <w:r>
        <w:rPr>
          <w:sz w:val="28"/>
          <w:szCs w:val="28"/>
        </w:rPr>
        <w:t>1.</w:t>
      </w:r>
      <w:r w:rsidR="005F3A65">
        <w:rPr>
          <w:sz w:val="28"/>
          <w:szCs w:val="28"/>
        </w:rPr>
        <w:t>2</w:t>
      </w:r>
      <w:r>
        <w:rPr>
          <w:sz w:val="28"/>
          <w:szCs w:val="28"/>
        </w:rPr>
        <w:t xml:space="preserve"> DESARROLLO DEL TALENTO HUMANO</w:t>
      </w:r>
    </w:p>
    <w:p w:rsidR="003F5CA8" w:rsidRPr="0019079D" w:rsidRDefault="003F5CA8" w:rsidP="003F5CA8">
      <w:pPr>
        <w:pStyle w:val="Prrafodelista"/>
        <w:numPr>
          <w:ilvl w:val="0"/>
          <w:numId w:val="10"/>
        </w:numPr>
        <w:ind w:left="426"/>
        <w:jc w:val="both"/>
        <w:rPr>
          <w:rFonts w:ascii="Arial" w:hAnsi="Arial" w:cs="Arial"/>
          <w:sz w:val="24"/>
          <w:szCs w:val="24"/>
        </w:rPr>
      </w:pPr>
      <w:r w:rsidRPr="0019079D">
        <w:rPr>
          <w:rFonts w:ascii="Arial" w:hAnsi="Arial" w:cs="Arial"/>
          <w:sz w:val="24"/>
          <w:szCs w:val="24"/>
        </w:rPr>
        <w:t>En cumplimiento al Decreto 612 de 2018 se documentaron y ejecutaron los planes institucionales relacionados con la gestión del talento humano, articulados a los lineamientos establecidos en el Modelo Integrado de Planeación y Gestión:</w:t>
      </w:r>
    </w:p>
    <w:p w:rsidR="003F5CA8" w:rsidRPr="0019079D" w:rsidRDefault="003F5CA8" w:rsidP="003F5CA8">
      <w:pPr>
        <w:pStyle w:val="Prrafodelista"/>
        <w:numPr>
          <w:ilvl w:val="1"/>
          <w:numId w:val="10"/>
        </w:numPr>
        <w:jc w:val="both"/>
        <w:rPr>
          <w:rFonts w:ascii="Arial" w:hAnsi="Arial" w:cs="Arial"/>
          <w:sz w:val="24"/>
          <w:szCs w:val="24"/>
        </w:rPr>
      </w:pPr>
      <w:r w:rsidRPr="0019079D">
        <w:rPr>
          <w:rFonts w:ascii="Arial" w:hAnsi="Arial" w:cs="Arial"/>
          <w:sz w:val="24"/>
          <w:szCs w:val="24"/>
        </w:rPr>
        <w:t>Plan Estratégico de Talento Humano</w:t>
      </w:r>
    </w:p>
    <w:p w:rsidR="003F5CA8" w:rsidRPr="0019079D" w:rsidRDefault="003F5CA8" w:rsidP="003F5CA8">
      <w:pPr>
        <w:pStyle w:val="Prrafodelista"/>
        <w:numPr>
          <w:ilvl w:val="1"/>
          <w:numId w:val="10"/>
        </w:numPr>
        <w:jc w:val="both"/>
        <w:rPr>
          <w:rFonts w:ascii="Arial" w:hAnsi="Arial" w:cs="Arial"/>
          <w:sz w:val="24"/>
          <w:szCs w:val="24"/>
        </w:rPr>
      </w:pPr>
      <w:r w:rsidRPr="0019079D">
        <w:rPr>
          <w:rFonts w:ascii="Arial" w:hAnsi="Arial" w:cs="Arial"/>
          <w:sz w:val="24"/>
          <w:szCs w:val="24"/>
        </w:rPr>
        <w:t>Pla</w:t>
      </w:r>
      <w:r w:rsidR="007E7F82">
        <w:rPr>
          <w:rFonts w:ascii="Arial" w:hAnsi="Arial" w:cs="Arial"/>
          <w:sz w:val="24"/>
          <w:szCs w:val="24"/>
        </w:rPr>
        <w:t>n Institucional de Capacitación</w:t>
      </w:r>
    </w:p>
    <w:p w:rsidR="003F5CA8" w:rsidRPr="0019079D" w:rsidRDefault="003F5CA8" w:rsidP="003F5CA8">
      <w:pPr>
        <w:pStyle w:val="Prrafodelista"/>
        <w:numPr>
          <w:ilvl w:val="1"/>
          <w:numId w:val="10"/>
        </w:numPr>
        <w:jc w:val="both"/>
        <w:rPr>
          <w:rFonts w:ascii="Arial" w:hAnsi="Arial" w:cs="Arial"/>
          <w:sz w:val="24"/>
          <w:szCs w:val="24"/>
        </w:rPr>
      </w:pPr>
      <w:r w:rsidRPr="0019079D">
        <w:rPr>
          <w:rFonts w:ascii="Arial" w:hAnsi="Arial" w:cs="Arial"/>
          <w:sz w:val="24"/>
          <w:szCs w:val="24"/>
        </w:rPr>
        <w:t>Plan de Bienestar e Incentivos</w:t>
      </w:r>
    </w:p>
    <w:p w:rsidR="003F5CA8" w:rsidRDefault="003F5CA8" w:rsidP="003F5CA8">
      <w:pPr>
        <w:pStyle w:val="Prrafodelista"/>
        <w:numPr>
          <w:ilvl w:val="1"/>
          <w:numId w:val="10"/>
        </w:numPr>
        <w:jc w:val="both"/>
        <w:rPr>
          <w:rFonts w:ascii="Arial" w:hAnsi="Arial" w:cs="Arial"/>
          <w:sz w:val="24"/>
          <w:szCs w:val="24"/>
        </w:rPr>
      </w:pPr>
      <w:r w:rsidRPr="0019079D">
        <w:rPr>
          <w:rFonts w:ascii="Arial" w:hAnsi="Arial" w:cs="Arial"/>
          <w:sz w:val="24"/>
          <w:szCs w:val="24"/>
        </w:rPr>
        <w:t>Plan Anual de Trabajo del Sistema de Seguridad y Salud en el Trabajo</w:t>
      </w:r>
    </w:p>
    <w:p w:rsidR="007E7F82" w:rsidRPr="007E7F82" w:rsidRDefault="007E7F82" w:rsidP="007E7F82">
      <w:pPr>
        <w:spacing w:after="0" w:line="240" w:lineRule="auto"/>
        <w:jc w:val="both"/>
        <w:rPr>
          <w:rFonts w:ascii="Arial" w:hAnsi="Arial" w:cs="Arial"/>
          <w:sz w:val="24"/>
          <w:szCs w:val="24"/>
        </w:rPr>
      </w:pPr>
    </w:p>
    <w:p w:rsidR="003F5CA8" w:rsidRPr="0019079D" w:rsidRDefault="003F5CA8" w:rsidP="003F5CA8">
      <w:pPr>
        <w:pStyle w:val="Prrafodelista"/>
        <w:numPr>
          <w:ilvl w:val="0"/>
          <w:numId w:val="10"/>
        </w:numPr>
        <w:ind w:left="426"/>
        <w:jc w:val="both"/>
        <w:rPr>
          <w:rFonts w:ascii="Arial" w:hAnsi="Arial" w:cs="Arial"/>
          <w:sz w:val="24"/>
          <w:szCs w:val="24"/>
        </w:rPr>
      </w:pPr>
      <w:r w:rsidRPr="0019079D">
        <w:rPr>
          <w:rFonts w:ascii="Arial" w:hAnsi="Arial" w:cs="Arial"/>
          <w:sz w:val="24"/>
          <w:szCs w:val="24"/>
        </w:rPr>
        <w:t xml:space="preserve">El Comité Institucional de Gestión y Desempeño, en el marco de lo requerido por el Modelo Integrado de Planeación y Gestión para la gestión del talento humano, aprobó </w:t>
      </w:r>
      <w:r>
        <w:rPr>
          <w:rFonts w:ascii="Arial" w:hAnsi="Arial" w:cs="Arial"/>
          <w:sz w:val="24"/>
          <w:szCs w:val="24"/>
        </w:rPr>
        <w:t xml:space="preserve">en esta vigencia </w:t>
      </w:r>
      <w:r w:rsidRPr="0019079D">
        <w:rPr>
          <w:rFonts w:ascii="Arial" w:hAnsi="Arial" w:cs="Arial"/>
          <w:sz w:val="24"/>
          <w:szCs w:val="24"/>
        </w:rPr>
        <w:t>las políticas institucionales de:</w:t>
      </w:r>
    </w:p>
    <w:p w:rsidR="003F5CA8" w:rsidRPr="0019079D" w:rsidRDefault="003F5CA8" w:rsidP="003F5CA8">
      <w:pPr>
        <w:pStyle w:val="Prrafodelista"/>
        <w:numPr>
          <w:ilvl w:val="1"/>
          <w:numId w:val="10"/>
        </w:numPr>
        <w:jc w:val="both"/>
        <w:rPr>
          <w:rFonts w:ascii="Arial" w:hAnsi="Arial" w:cs="Arial"/>
          <w:sz w:val="24"/>
          <w:szCs w:val="24"/>
        </w:rPr>
      </w:pPr>
      <w:r w:rsidRPr="0019079D">
        <w:rPr>
          <w:rFonts w:ascii="Arial" w:hAnsi="Arial" w:cs="Arial"/>
          <w:sz w:val="24"/>
          <w:szCs w:val="24"/>
        </w:rPr>
        <w:t>Gestión Estratégica de Talento Humano</w:t>
      </w:r>
    </w:p>
    <w:p w:rsidR="003F5CA8" w:rsidRPr="0019079D" w:rsidRDefault="003F5CA8" w:rsidP="003F5CA8">
      <w:pPr>
        <w:pStyle w:val="Prrafodelista"/>
        <w:numPr>
          <w:ilvl w:val="1"/>
          <w:numId w:val="10"/>
        </w:numPr>
        <w:jc w:val="both"/>
        <w:rPr>
          <w:rFonts w:ascii="Arial" w:hAnsi="Arial" w:cs="Arial"/>
          <w:sz w:val="24"/>
          <w:szCs w:val="24"/>
        </w:rPr>
      </w:pPr>
      <w:r w:rsidRPr="0019079D">
        <w:rPr>
          <w:rFonts w:ascii="Arial" w:hAnsi="Arial" w:cs="Arial"/>
          <w:sz w:val="24"/>
          <w:szCs w:val="24"/>
        </w:rPr>
        <w:t>Gestión de integridad</w:t>
      </w:r>
    </w:p>
    <w:p w:rsidR="003F5CA8" w:rsidRPr="0019079D" w:rsidRDefault="003F5CA8" w:rsidP="003F5CA8">
      <w:pPr>
        <w:pStyle w:val="Prrafodelista"/>
        <w:numPr>
          <w:ilvl w:val="1"/>
          <w:numId w:val="10"/>
        </w:numPr>
        <w:jc w:val="both"/>
        <w:rPr>
          <w:rFonts w:ascii="Arial" w:hAnsi="Arial" w:cs="Arial"/>
          <w:sz w:val="24"/>
          <w:szCs w:val="24"/>
        </w:rPr>
      </w:pPr>
      <w:r w:rsidRPr="0019079D">
        <w:rPr>
          <w:rFonts w:ascii="Arial" w:hAnsi="Arial" w:cs="Arial"/>
          <w:sz w:val="24"/>
          <w:szCs w:val="24"/>
        </w:rPr>
        <w:t>Gestión del Conocimiento e Innovación</w:t>
      </w:r>
    </w:p>
    <w:p w:rsidR="003F5CA8" w:rsidRDefault="003F5CA8" w:rsidP="00A44284">
      <w:pPr>
        <w:pStyle w:val="Prrafodelista"/>
        <w:spacing w:after="0" w:line="240" w:lineRule="auto"/>
        <w:jc w:val="both"/>
        <w:rPr>
          <w:sz w:val="28"/>
          <w:szCs w:val="28"/>
        </w:rPr>
      </w:pPr>
    </w:p>
    <w:p w:rsidR="003F5CA8" w:rsidRPr="0019079D" w:rsidRDefault="003F5CA8" w:rsidP="003F5CA8">
      <w:pPr>
        <w:jc w:val="both"/>
        <w:rPr>
          <w:rFonts w:ascii="Arial" w:hAnsi="Arial" w:cs="Arial"/>
          <w:b/>
          <w:sz w:val="24"/>
          <w:szCs w:val="24"/>
        </w:rPr>
      </w:pPr>
      <w:r w:rsidRPr="0019079D">
        <w:rPr>
          <w:rFonts w:ascii="Arial" w:hAnsi="Arial" w:cs="Arial"/>
          <w:b/>
          <w:sz w:val="24"/>
          <w:szCs w:val="24"/>
        </w:rPr>
        <w:t>Concursos de méritos 2019</w:t>
      </w:r>
    </w:p>
    <w:p w:rsidR="003F5CA8" w:rsidRPr="0019079D" w:rsidRDefault="003F5CA8" w:rsidP="003F5CA8">
      <w:pPr>
        <w:pStyle w:val="Prrafodelista"/>
        <w:numPr>
          <w:ilvl w:val="0"/>
          <w:numId w:val="10"/>
        </w:numPr>
        <w:ind w:left="426"/>
        <w:jc w:val="both"/>
        <w:rPr>
          <w:rFonts w:ascii="Arial" w:hAnsi="Arial" w:cs="Arial"/>
          <w:sz w:val="24"/>
          <w:szCs w:val="24"/>
        </w:rPr>
      </w:pPr>
      <w:r w:rsidRPr="00243546">
        <w:rPr>
          <w:rFonts w:ascii="Arial" w:hAnsi="Arial" w:cs="Arial"/>
          <w:sz w:val="24"/>
          <w:szCs w:val="24"/>
        </w:rPr>
        <w:t>Con el concurso de méritos 2019</w:t>
      </w:r>
      <w:r>
        <w:rPr>
          <w:rFonts w:ascii="Arial" w:hAnsi="Arial" w:cs="Arial"/>
          <w:sz w:val="24"/>
          <w:szCs w:val="24"/>
        </w:rPr>
        <w:t>,</w:t>
      </w:r>
      <w:r w:rsidRPr="00243546">
        <w:rPr>
          <w:rFonts w:ascii="Arial" w:hAnsi="Arial" w:cs="Arial"/>
          <w:sz w:val="24"/>
          <w:szCs w:val="24"/>
        </w:rPr>
        <w:t xml:space="preserve"> más de 1</w:t>
      </w:r>
      <w:r>
        <w:rPr>
          <w:rFonts w:ascii="Arial" w:hAnsi="Arial" w:cs="Arial"/>
          <w:sz w:val="24"/>
          <w:szCs w:val="24"/>
        </w:rPr>
        <w:t>.</w:t>
      </w:r>
      <w:r w:rsidRPr="00243546">
        <w:rPr>
          <w:rFonts w:ascii="Arial" w:hAnsi="Arial" w:cs="Arial"/>
          <w:sz w:val="24"/>
          <w:szCs w:val="24"/>
        </w:rPr>
        <w:t>260 aspirantes lograrán en el 2020 su meta de ingreso / ascenso en la EAAB ESP; este</w:t>
      </w:r>
      <w:r>
        <w:rPr>
          <w:rFonts w:ascii="Arial" w:hAnsi="Arial" w:cs="Arial"/>
          <w:sz w:val="24"/>
          <w:szCs w:val="24"/>
        </w:rPr>
        <w:t xml:space="preserve"> plan </w:t>
      </w:r>
      <w:r w:rsidRPr="00243546">
        <w:rPr>
          <w:rFonts w:ascii="Arial" w:hAnsi="Arial" w:cs="Arial"/>
          <w:sz w:val="24"/>
          <w:szCs w:val="24"/>
        </w:rPr>
        <w:t xml:space="preserve">se </w:t>
      </w:r>
      <w:r>
        <w:rPr>
          <w:rFonts w:ascii="Arial" w:hAnsi="Arial" w:cs="Arial"/>
          <w:sz w:val="24"/>
          <w:szCs w:val="24"/>
        </w:rPr>
        <w:t>desarrolló</w:t>
      </w:r>
      <w:r w:rsidRPr="00243546">
        <w:rPr>
          <w:rFonts w:ascii="Arial" w:hAnsi="Arial" w:cs="Arial"/>
          <w:sz w:val="24"/>
          <w:szCs w:val="24"/>
        </w:rPr>
        <w:t xml:space="preserve"> bajo los principios del debido proceso, igualdad, imparcialidad, buena fe, moralidad, responsabilidad, transparencia, publicidad, eficacia, economía y celeridad</w:t>
      </w:r>
      <w:r>
        <w:rPr>
          <w:rFonts w:ascii="Arial" w:hAnsi="Arial" w:cs="Arial"/>
          <w:sz w:val="24"/>
          <w:szCs w:val="24"/>
        </w:rPr>
        <w:t>.</w:t>
      </w:r>
    </w:p>
    <w:p w:rsidR="003F5CA8" w:rsidRPr="0019079D" w:rsidRDefault="003F5CA8" w:rsidP="003F5CA8">
      <w:pPr>
        <w:jc w:val="both"/>
        <w:rPr>
          <w:rFonts w:ascii="Arial" w:hAnsi="Arial" w:cs="Arial"/>
          <w:b/>
          <w:sz w:val="24"/>
          <w:szCs w:val="24"/>
        </w:rPr>
      </w:pPr>
      <w:r w:rsidRPr="0019079D">
        <w:rPr>
          <w:rFonts w:ascii="Arial" w:hAnsi="Arial" w:cs="Arial"/>
          <w:b/>
          <w:sz w:val="24"/>
          <w:szCs w:val="24"/>
        </w:rPr>
        <w:t>Sistema de Gestión de Seguridad y Salud en el Trabajo</w:t>
      </w:r>
    </w:p>
    <w:p w:rsidR="003F5CA8" w:rsidRPr="0019079D" w:rsidRDefault="003F5CA8" w:rsidP="003F5CA8">
      <w:pPr>
        <w:pStyle w:val="Prrafodelista"/>
        <w:numPr>
          <w:ilvl w:val="0"/>
          <w:numId w:val="10"/>
        </w:numPr>
        <w:ind w:left="426"/>
        <w:jc w:val="both"/>
        <w:rPr>
          <w:rFonts w:ascii="Arial" w:hAnsi="Arial" w:cs="Arial"/>
          <w:sz w:val="24"/>
          <w:szCs w:val="24"/>
        </w:rPr>
      </w:pPr>
      <w:r w:rsidRPr="0019079D">
        <w:rPr>
          <w:rFonts w:ascii="Arial" w:hAnsi="Arial" w:cs="Arial"/>
          <w:sz w:val="24"/>
          <w:szCs w:val="24"/>
        </w:rPr>
        <w:t>Se logró una valoración del 96% de cumplimiento de los estándares mínimos del Sistema de Gestión de S</w:t>
      </w:r>
      <w:r w:rsidR="007E7F82">
        <w:rPr>
          <w:rFonts w:ascii="Arial" w:hAnsi="Arial" w:cs="Arial"/>
          <w:sz w:val="24"/>
          <w:szCs w:val="24"/>
        </w:rPr>
        <w:t>eguridad y Salud en el Trabajo.</w:t>
      </w:r>
    </w:p>
    <w:p w:rsidR="003F5CA8" w:rsidRPr="0019079D" w:rsidRDefault="003F5CA8" w:rsidP="003F5CA8">
      <w:pPr>
        <w:pStyle w:val="Prrafodelista"/>
        <w:numPr>
          <w:ilvl w:val="0"/>
          <w:numId w:val="10"/>
        </w:numPr>
        <w:ind w:left="426"/>
        <w:jc w:val="both"/>
        <w:rPr>
          <w:rFonts w:ascii="Arial" w:hAnsi="Arial" w:cs="Arial"/>
          <w:sz w:val="24"/>
          <w:szCs w:val="24"/>
        </w:rPr>
      </w:pPr>
      <w:r w:rsidRPr="0019079D">
        <w:rPr>
          <w:rFonts w:ascii="Arial" w:hAnsi="Arial" w:cs="Arial"/>
          <w:sz w:val="24"/>
          <w:szCs w:val="24"/>
        </w:rPr>
        <w:t xml:space="preserve">Se realizó el despliegue de la campaña de comunicación de Seguridad y Salud en el Trabajo “SEGURO QUE SI”, enfocada en el fortalecimiento de la cultura del autocuidado en </w:t>
      </w:r>
      <w:r w:rsidR="007E7F82">
        <w:rPr>
          <w:rFonts w:ascii="Arial" w:hAnsi="Arial" w:cs="Arial"/>
          <w:sz w:val="24"/>
          <w:szCs w:val="24"/>
        </w:rPr>
        <w:t>los trabajadores de la Empresa.</w:t>
      </w:r>
    </w:p>
    <w:p w:rsidR="003F5CA8" w:rsidRPr="0019079D" w:rsidRDefault="003F5CA8" w:rsidP="003F5CA8">
      <w:pPr>
        <w:pStyle w:val="Prrafodelista"/>
        <w:numPr>
          <w:ilvl w:val="0"/>
          <w:numId w:val="10"/>
        </w:numPr>
        <w:ind w:left="426"/>
        <w:jc w:val="both"/>
        <w:rPr>
          <w:rFonts w:ascii="Arial" w:hAnsi="Arial" w:cs="Arial"/>
          <w:sz w:val="24"/>
          <w:szCs w:val="24"/>
        </w:rPr>
      </w:pPr>
      <w:r w:rsidRPr="0019079D">
        <w:rPr>
          <w:rFonts w:ascii="Arial" w:hAnsi="Arial" w:cs="Arial"/>
          <w:sz w:val="24"/>
          <w:szCs w:val="24"/>
        </w:rPr>
        <w:t>Mediante la Resolución 0846 de 2019 se actualizó el Reglamento de Higiene y Seguridad Industrial de la Empresa.</w:t>
      </w:r>
    </w:p>
    <w:p w:rsidR="003F5CA8" w:rsidRPr="0019079D" w:rsidRDefault="003F5CA8" w:rsidP="003F5CA8">
      <w:pPr>
        <w:pStyle w:val="Prrafodelista"/>
        <w:numPr>
          <w:ilvl w:val="0"/>
          <w:numId w:val="10"/>
        </w:numPr>
        <w:ind w:left="426"/>
        <w:jc w:val="both"/>
        <w:rPr>
          <w:rFonts w:ascii="Arial" w:hAnsi="Arial" w:cs="Arial"/>
          <w:sz w:val="24"/>
          <w:szCs w:val="24"/>
        </w:rPr>
      </w:pPr>
      <w:r w:rsidRPr="0019079D">
        <w:rPr>
          <w:rFonts w:ascii="Arial" w:hAnsi="Arial" w:cs="Arial"/>
          <w:sz w:val="24"/>
          <w:szCs w:val="24"/>
        </w:rPr>
        <w:t>En cumplimiento de las convenciones colectivas de trabajo se prestaron los servicios de salud con los planes adicionales y complementarios (PAS y PC), beneficiando a más de 14.000 usuarios entre trabajadores, pensionados, sustitutos pensionales y beneficiarios.</w:t>
      </w:r>
    </w:p>
    <w:p w:rsidR="003F5CA8" w:rsidRPr="0019079D" w:rsidRDefault="003F5CA8" w:rsidP="003F5CA8">
      <w:pPr>
        <w:pStyle w:val="Prrafodelista"/>
        <w:numPr>
          <w:ilvl w:val="0"/>
          <w:numId w:val="10"/>
        </w:numPr>
        <w:ind w:left="426"/>
        <w:jc w:val="both"/>
        <w:rPr>
          <w:rFonts w:ascii="Arial" w:hAnsi="Arial" w:cs="Arial"/>
          <w:sz w:val="24"/>
          <w:szCs w:val="24"/>
        </w:rPr>
      </w:pPr>
      <w:r w:rsidRPr="0019079D">
        <w:rPr>
          <w:rFonts w:ascii="Arial" w:hAnsi="Arial" w:cs="Arial"/>
          <w:sz w:val="24"/>
          <w:szCs w:val="24"/>
        </w:rPr>
        <w:t>Se cuenta con 211 Matrices de Identificación de Peligros, Evaluación y Valoración de Riesgos (MIP) con alcance a todos los centros de trabajo. La divulgación se realizó en la intranet de la EAAB-ESP y por escrito a los jefes de área y a la Dirección de Mejoramiento Calidad de Vida, a fin que esta última los incluya en los procesos de vinculación de trabajadores.</w:t>
      </w:r>
    </w:p>
    <w:p w:rsidR="003F5CA8" w:rsidRPr="0019079D" w:rsidRDefault="003F5CA8" w:rsidP="003F5CA8">
      <w:pPr>
        <w:pStyle w:val="Prrafodelista"/>
        <w:numPr>
          <w:ilvl w:val="0"/>
          <w:numId w:val="10"/>
        </w:numPr>
        <w:ind w:left="426"/>
        <w:jc w:val="both"/>
        <w:rPr>
          <w:rFonts w:ascii="Arial" w:hAnsi="Arial" w:cs="Arial"/>
          <w:sz w:val="24"/>
          <w:szCs w:val="24"/>
        </w:rPr>
      </w:pPr>
      <w:r w:rsidRPr="0019079D">
        <w:rPr>
          <w:rFonts w:ascii="Arial" w:hAnsi="Arial" w:cs="Arial"/>
          <w:sz w:val="24"/>
          <w:szCs w:val="24"/>
        </w:rPr>
        <w:t>Se documentaron los Programas de Vigilancia Epidemiológica (PVE) de Conservación Auditiva, Conservación de la Voz, Prevención de Desordenes Musculo esqueléticos, Riesgo Psicosocial y Exposición a Ra</w:t>
      </w:r>
      <w:r w:rsidR="003B0B8B">
        <w:rPr>
          <w:rFonts w:ascii="Arial" w:hAnsi="Arial" w:cs="Arial"/>
          <w:sz w:val="24"/>
          <w:szCs w:val="24"/>
        </w:rPr>
        <w:t>diaciones UV.</w:t>
      </w:r>
    </w:p>
    <w:p w:rsidR="003F5CA8" w:rsidRPr="0019079D" w:rsidRDefault="003F5CA8" w:rsidP="003F5CA8">
      <w:pPr>
        <w:pStyle w:val="Prrafodelista"/>
        <w:numPr>
          <w:ilvl w:val="0"/>
          <w:numId w:val="10"/>
        </w:numPr>
        <w:ind w:left="426"/>
        <w:jc w:val="both"/>
        <w:rPr>
          <w:rFonts w:ascii="Arial" w:hAnsi="Arial" w:cs="Arial"/>
          <w:sz w:val="24"/>
          <w:szCs w:val="24"/>
        </w:rPr>
      </w:pPr>
      <w:r w:rsidRPr="0019079D">
        <w:rPr>
          <w:rFonts w:ascii="Arial" w:hAnsi="Arial" w:cs="Arial"/>
          <w:sz w:val="24"/>
          <w:szCs w:val="24"/>
        </w:rPr>
        <w:t>La Empresa participó en el Simulacro Distrital de Evacuación realizado el 2 de octubre de 2019, con la colaboración de 12 centros de trabajo. Se consiguió un tiempo promedio de evacuación de 7 minutos y 17 segundos, mejorando los promedios de vigencias anteriores; se consiguió la evacuación de 2.781 personas entre trabajadores, visitantes y contratistas.</w:t>
      </w:r>
    </w:p>
    <w:p w:rsidR="003F5CA8" w:rsidRPr="0019079D" w:rsidRDefault="003F5CA8" w:rsidP="003F5CA8">
      <w:pPr>
        <w:pStyle w:val="Prrafodelista"/>
        <w:numPr>
          <w:ilvl w:val="0"/>
          <w:numId w:val="10"/>
        </w:numPr>
        <w:ind w:left="426"/>
        <w:jc w:val="both"/>
        <w:rPr>
          <w:rFonts w:ascii="Arial" w:hAnsi="Arial" w:cs="Arial"/>
          <w:sz w:val="24"/>
          <w:szCs w:val="24"/>
        </w:rPr>
      </w:pPr>
      <w:r w:rsidRPr="0019079D">
        <w:rPr>
          <w:rFonts w:ascii="Arial" w:hAnsi="Arial" w:cs="Arial"/>
          <w:sz w:val="24"/>
          <w:szCs w:val="24"/>
        </w:rPr>
        <w:t xml:space="preserve">En </w:t>
      </w:r>
      <w:r w:rsidR="003B0B8B">
        <w:rPr>
          <w:rFonts w:ascii="Arial" w:hAnsi="Arial" w:cs="Arial"/>
          <w:sz w:val="24"/>
          <w:szCs w:val="24"/>
        </w:rPr>
        <w:t xml:space="preserve">el </w:t>
      </w:r>
      <w:r w:rsidRPr="0019079D">
        <w:rPr>
          <w:rFonts w:ascii="Arial" w:hAnsi="Arial" w:cs="Arial"/>
          <w:sz w:val="24"/>
          <w:szCs w:val="24"/>
        </w:rPr>
        <w:t>marco de la conmemoración del Día de la Salud en el Mundo del Trabajo 2019, se realizó la conferencia sobre responsabilidades y roles en Seguridad y Salud en el Trabajo, la cual fue dirigida a Gerentes, Directores y Jefes de División, aportando al fortalecimiento del SG-SST.</w:t>
      </w:r>
    </w:p>
    <w:p w:rsidR="003F5CA8" w:rsidRPr="0019079D" w:rsidRDefault="003F5CA8" w:rsidP="003F5CA8">
      <w:pPr>
        <w:pStyle w:val="Prrafodelista"/>
        <w:numPr>
          <w:ilvl w:val="0"/>
          <w:numId w:val="10"/>
        </w:numPr>
        <w:ind w:left="426"/>
        <w:jc w:val="both"/>
        <w:rPr>
          <w:rFonts w:ascii="Arial" w:hAnsi="Arial" w:cs="Arial"/>
          <w:sz w:val="24"/>
          <w:szCs w:val="24"/>
        </w:rPr>
      </w:pPr>
      <w:r w:rsidRPr="0019079D">
        <w:rPr>
          <w:rFonts w:ascii="Arial" w:hAnsi="Arial" w:cs="Arial"/>
          <w:sz w:val="24"/>
          <w:szCs w:val="24"/>
        </w:rPr>
        <w:t>Se realizaron 91 inspecciones planeadas y 56 no planeadas a distintos centros de trabajo de la EAAB-ESP, aportado a la identificación de pe</w:t>
      </w:r>
      <w:r w:rsidR="003B0B8B">
        <w:rPr>
          <w:rFonts w:ascii="Arial" w:hAnsi="Arial" w:cs="Arial"/>
          <w:sz w:val="24"/>
          <w:szCs w:val="24"/>
        </w:rPr>
        <w:t>ligros y valoración de riesgos.</w:t>
      </w:r>
    </w:p>
    <w:p w:rsidR="003F5CA8" w:rsidRPr="0019079D" w:rsidRDefault="003B0B8B" w:rsidP="003F5CA8">
      <w:pPr>
        <w:pStyle w:val="Prrafodelista"/>
        <w:numPr>
          <w:ilvl w:val="0"/>
          <w:numId w:val="10"/>
        </w:numPr>
        <w:ind w:left="426"/>
        <w:jc w:val="both"/>
        <w:rPr>
          <w:rFonts w:ascii="Arial" w:hAnsi="Arial" w:cs="Arial"/>
          <w:sz w:val="24"/>
          <w:szCs w:val="24"/>
        </w:rPr>
      </w:pPr>
      <w:r w:rsidRPr="003B0B8B">
        <w:rPr>
          <w:rFonts w:ascii="Arial" w:hAnsi="Arial" w:cs="Arial"/>
          <w:sz w:val="24"/>
          <w:szCs w:val="24"/>
        </w:rPr>
        <w:t xml:space="preserve">Se realizaron </w:t>
      </w:r>
      <w:r w:rsidR="003F5CA8" w:rsidRPr="0019079D">
        <w:rPr>
          <w:rFonts w:ascii="Arial" w:hAnsi="Arial" w:cs="Arial"/>
          <w:sz w:val="24"/>
          <w:szCs w:val="24"/>
        </w:rPr>
        <w:t>616 jornadas de capacitación en seguridad y salud en el trabajo, más de 13.902 registros de asistencia, que aportaron a la reducción de índices de accidentalidad y enfermedad en el ámbito laboral.</w:t>
      </w:r>
    </w:p>
    <w:p w:rsidR="003F5CA8" w:rsidRPr="0019079D" w:rsidRDefault="003F5CA8" w:rsidP="003F5CA8">
      <w:pPr>
        <w:pStyle w:val="Prrafodelista"/>
        <w:numPr>
          <w:ilvl w:val="0"/>
          <w:numId w:val="10"/>
        </w:numPr>
        <w:ind w:left="426"/>
        <w:jc w:val="both"/>
        <w:rPr>
          <w:rFonts w:ascii="Arial" w:hAnsi="Arial" w:cs="Arial"/>
          <w:sz w:val="24"/>
          <w:szCs w:val="24"/>
        </w:rPr>
      </w:pPr>
      <w:r w:rsidRPr="0019079D">
        <w:rPr>
          <w:rFonts w:ascii="Arial" w:hAnsi="Arial" w:cs="Arial"/>
          <w:sz w:val="24"/>
          <w:szCs w:val="24"/>
        </w:rPr>
        <w:t>Se proyectó el diagnóstico de condiciones de salud 2018 de la población trabajadora de la EAAB-ESP, insumo fundamental para planificar las actividades de promoción y prevención del Plan de Trabajo Anual de Seguridad y Salud en el Trabajo para la vigencia 2020.</w:t>
      </w:r>
    </w:p>
    <w:p w:rsidR="003F5CA8" w:rsidRPr="0019079D" w:rsidRDefault="003F5CA8" w:rsidP="003F5CA8">
      <w:pPr>
        <w:pStyle w:val="Prrafodelista"/>
        <w:numPr>
          <w:ilvl w:val="0"/>
          <w:numId w:val="10"/>
        </w:numPr>
        <w:spacing w:after="0" w:line="240" w:lineRule="auto"/>
        <w:ind w:left="426"/>
        <w:contextualSpacing w:val="0"/>
        <w:jc w:val="both"/>
        <w:rPr>
          <w:rFonts w:ascii="Arial" w:hAnsi="Arial" w:cs="Arial"/>
          <w:sz w:val="24"/>
          <w:szCs w:val="24"/>
        </w:rPr>
      </w:pPr>
      <w:r w:rsidRPr="0019079D">
        <w:rPr>
          <w:rFonts w:ascii="Arial" w:hAnsi="Arial" w:cs="Arial"/>
          <w:sz w:val="24"/>
          <w:szCs w:val="24"/>
        </w:rPr>
        <w:t>Se ejerció control al cumplimiento de los estándares mínimos del Seguridad y Salud en el Trabajo a 86 contratistas, aportando al fortalecimiento del SG-SST en la Empresa.</w:t>
      </w:r>
    </w:p>
    <w:p w:rsidR="003F5CA8" w:rsidRPr="0019079D" w:rsidRDefault="003F5CA8" w:rsidP="003F5CA8">
      <w:pPr>
        <w:pStyle w:val="Prrafodelista"/>
        <w:numPr>
          <w:ilvl w:val="0"/>
          <w:numId w:val="10"/>
        </w:numPr>
        <w:spacing w:after="0" w:line="240" w:lineRule="auto"/>
        <w:ind w:left="426"/>
        <w:contextualSpacing w:val="0"/>
        <w:jc w:val="both"/>
        <w:rPr>
          <w:rFonts w:ascii="Arial" w:hAnsi="Arial" w:cs="Arial"/>
          <w:sz w:val="24"/>
          <w:szCs w:val="24"/>
        </w:rPr>
      </w:pPr>
      <w:r w:rsidRPr="0019079D">
        <w:rPr>
          <w:rFonts w:ascii="Arial" w:hAnsi="Arial" w:cs="Arial"/>
          <w:sz w:val="24"/>
          <w:szCs w:val="24"/>
        </w:rPr>
        <w:t>A lo largo de la vigencia se han realizado más de 2.000 exámenes médicos ocupacionales de ingresos, egreso, ascensos, periódicos, post incapacidad y laborales, con miras a verificar si las condiciones de salud de los trabajadores son acordes a las exigencias del cargo</w:t>
      </w:r>
      <w:r w:rsidR="003B0B8B">
        <w:rPr>
          <w:rFonts w:ascii="Arial" w:hAnsi="Arial" w:cs="Arial"/>
          <w:sz w:val="24"/>
          <w:szCs w:val="24"/>
        </w:rPr>
        <w:t>.</w:t>
      </w:r>
    </w:p>
    <w:p w:rsidR="003F5CA8" w:rsidRPr="0019079D" w:rsidRDefault="003F5CA8" w:rsidP="003F5CA8">
      <w:pPr>
        <w:pStyle w:val="Prrafodelista"/>
        <w:numPr>
          <w:ilvl w:val="0"/>
          <w:numId w:val="10"/>
        </w:numPr>
        <w:ind w:left="426"/>
        <w:jc w:val="both"/>
        <w:rPr>
          <w:rFonts w:ascii="Arial" w:hAnsi="Arial" w:cs="Arial"/>
          <w:sz w:val="24"/>
          <w:szCs w:val="24"/>
        </w:rPr>
      </w:pPr>
      <w:r w:rsidRPr="0019079D">
        <w:rPr>
          <w:rFonts w:ascii="Arial" w:hAnsi="Arial" w:cs="Arial"/>
          <w:sz w:val="24"/>
          <w:szCs w:val="24"/>
        </w:rPr>
        <w:t>Se documentó el procedimiento de reincorporación laboral, el cual aporta a la gestión de recomendaciones médicas ocupacionales.</w:t>
      </w:r>
    </w:p>
    <w:p w:rsidR="003F5CA8" w:rsidRPr="0019079D" w:rsidRDefault="003F5CA8" w:rsidP="003F5CA8">
      <w:pPr>
        <w:jc w:val="both"/>
        <w:rPr>
          <w:rFonts w:ascii="Arial" w:hAnsi="Arial" w:cs="Arial"/>
          <w:b/>
          <w:sz w:val="24"/>
          <w:szCs w:val="24"/>
        </w:rPr>
      </w:pPr>
      <w:r w:rsidRPr="0019079D">
        <w:rPr>
          <w:rFonts w:ascii="Arial" w:hAnsi="Arial" w:cs="Arial"/>
          <w:b/>
          <w:sz w:val="24"/>
          <w:szCs w:val="24"/>
        </w:rPr>
        <w:t>Plan Institucional de Capacitación (PIC)</w:t>
      </w:r>
    </w:p>
    <w:p w:rsidR="003F5CA8" w:rsidRPr="0019079D" w:rsidRDefault="003B0B8B" w:rsidP="003F5CA8">
      <w:pPr>
        <w:pStyle w:val="Prrafodelista"/>
        <w:numPr>
          <w:ilvl w:val="0"/>
          <w:numId w:val="10"/>
        </w:numPr>
        <w:ind w:left="426"/>
        <w:jc w:val="both"/>
        <w:rPr>
          <w:rFonts w:ascii="Arial" w:hAnsi="Arial" w:cs="Arial"/>
          <w:sz w:val="24"/>
          <w:szCs w:val="24"/>
        </w:rPr>
      </w:pPr>
      <w:r w:rsidRPr="0019079D">
        <w:rPr>
          <w:rFonts w:ascii="Arial" w:hAnsi="Arial" w:cs="Arial"/>
          <w:sz w:val="24"/>
          <w:szCs w:val="24"/>
        </w:rPr>
        <w:t xml:space="preserve">Se realizaron </w:t>
      </w:r>
      <w:r>
        <w:rPr>
          <w:rFonts w:ascii="Arial" w:hAnsi="Arial" w:cs="Arial"/>
          <w:sz w:val="24"/>
          <w:szCs w:val="24"/>
        </w:rPr>
        <w:t>m</w:t>
      </w:r>
      <w:r w:rsidR="003F5CA8" w:rsidRPr="0019079D">
        <w:rPr>
          <w:rFonts w:ascii="Arial" w:hAnsi="Arial" w:cs="Arial"/>
          <w:sz w:val="24"/>
          <w:szCs w:val="24"/>
        </w:rPr>
        <w:t>ás de 81 eventos de capacitación y entrenamiento, 2.921 trabajadores lo que equivale a una cobertura del 86.8% y 7.254 asistencias se registran para la EAAB-ESP en el 2019.</w:t>
      </w:r>
    </w:p>
    <w:p w:rsidR="003F5CA8" w:rsidRPr="0019079D" w:rsidRDefault="003F5CA8" w:rsidP="003F5CA8">
      <w:pPr>
        <w:pStyle w:val="Prrafodelista"/>
        <w:numPr>
          <w:ilvl w:val="0"/>
          <w:numId w:val="10"/>
        </w:numPr>
        <w:ind w:left="426"/>
        <w:jc w:val="both"/>
        <w:rPr>
          <w:rFonts w:ascii="Arial" w:hAnsi="Arial" w:cs="Arial"/>
          <w:sz w:val="24"/>
          <w:szCs w:val="24"/>
        </w:rPr>
      </w:pPr>
      <w:r w:rsidRPr="0019079D">
        <w:rPr>
          <w:rFonts w:ascii="Arial" w:hAnsi="Arial" w:cs="Arial"/>
          <w:sz w:val="24"/>
          <w:szCs w:val="24"/>
        </w:rPr>
        <w:t>Se ejecutaron 16 sesiones del programa de inducción que contaron con la asistencia de 288 funcionarios, con contenidos como el Modelo Integrado de Planeación y Gestión (MIPG), historia de la Empresa, plan general estratégico, estructura organizacional y planta de cargos, el ciclo del agua, seguridad y salud en el trabajo, deberes de los trabajadores y sistema integrado de gestión.</w:t>
      </w:r>
    </w:p>
    <w:p w:rsidR="003F5CA8" w:rsidRPr="0019079D" w:rsidRDefault="003F5CA8" w:rsidP="003F5CA8">
      <w:pPr>
        <w:pStyle w:val="Prrafodelista"/>
        <w:numPr>
          <w:ilvl w:val="0"/>
          <w:numId w:val="10"/>
        </w:numPr>
        <w:ind w:left="426"/>
        <w:jc w:val="both"/>
        <w:rPr>
          <w:rFonts w:ascii="Arial" w:hAnsi="Arial" w:cs="Arial"/>
          <w:sz w:val="24"/>
          <w:szCs w:val="24"/>
        </w:rPr>
      </w:pPr>
      <w:r w:rsidRPr="0019079D">
        <w:rPr>
          <w:rFonts w:ascii="Arial" w:hAnsi="Arial" w:cs="Arial"/>
          <w:sz w:val="24"/>
          <w:szCs w:val="24"/>
        </w:rPr>
        <w:t>62 servidores asistieron a 9 congresos en temas relacionados con los procesos de la Empresa.</w:t>
      </w:r>
    </w:p>
    <w:p w:rsidR="003F5CA8" w:rsidRPr="0019079D" w:rsidRDefault="003F5CA8" w:rsidP="003F5CA8">
      <w:pPr>
        <w:pStyle w:val="Prrafodelista"/>
        <w:numPr>
          <w:ilvl w:val="0"/>
          <w:numId w:val="10"/>
        </w:numPr>
        <w:ind w:left="426"/>
        <w:jc w:val="both"/>
        <w:rPr>
          <w:rFonts w:ascii="Arial" w:hAnsi="Arial" w:cs="Arial"/>
          <w:sz w:val="24"/>
          <w:szCs w:val="24"/>
        </w:rPr>
      </w:pPr>
      <w:r w:rsidRPr="0019079D">
        <w:rPr>
          <w:rFonts w:ascii="Arial" w:hAnsi="Arial" w:cs="Arial"/>
          <w:sz w:val="24"/>
          <w:szCs w:val="24"/>
        </w:rPr>
        <w:t>Se continuó con la certificación del personal de la EAAB-ESP en Normas de Competencia Laboral (NCL) lo que permite el fortalecimiento de las competencias de los servidores.</w:t>
      </w:r>
    </w:p>
    <w:p w:rsidR="003F5CA8" w:rsidRPr="0019079D" w:rsidRDefault="003F5CA8" w:rsidP="003F5CA8">
      <w:pPr>
        <w:ind w:left="66"/>
        <w:jc w:val="both"/>
        <w:rPr>
          <w:rFonts w:ascii="Arial" w:hAnsi="Arial" w:cs="Arial"/>
          <w:b/>
          <w:sz w:val="24"/>
          <w:szCs w:val="24"/>
        </w:rPr>
      </w:pPr>
      <w:r w:rsidRPr="0019079D">
        <w:rPr>
          <w:rFonts w:ascii="Arial" w:hAnsi="Arial" w:cs="Arial"/>
          <w:b/>
          <w:sz w:val="24"/>
          <w:szCs w:val="24"/>
        </w:rPr>
        <w:t>Plan de Bienestar e Incentivos</w:t>
      </w:r>
    </w:p>
    <w:p w:rsidR="003F5CA8" w:rsidRPr="0019079D" w:rsidRDefault="003F5CA8" w:rsidP="003F5CA8">
      <w:pPr>
        <w:pStyle w:val="Prrafodelista"/>
        <w:numPr>
          <w:ilvl w:val="0"/>
          <w:numId w:val="10"/>
        </w:numPr>
        <w:ind w:left="426"/>
        <w:jc w:val="both"/>
        <w:rPr>
          <w:rFonts w:ascii="Arial" w:hAnsi="Arial" w:cs="Arial"/>
          <w:sz w:val="24"/>
          <w:szCs w:val="24"/>
        </w:rPr>
      </w:pPr>
      <w:r w:rsidRPr="0019079D">
        <w:rPr>
          <w:rFonts w:ascii="Arial" w:hAnsi="Arial" w:cs="Arial"/>
          <w:sz w:val="24"/>
          <w:szCs w:val="24"/>
        </w:rPr>
        <w:t>Se cumplieron las actividades previstas en el cronograma de bienestar aprobado en el marco de los Comités de Bienestar realizados con las Organizaciones Sindicales para la vigencia 2019, se desarrollaron actividades orientadas al área familiar, el deporte, la recreación, el área cultural, el cumplimiento de los requisitos convencional</w:t>
      </w:r>
      <w:r w:rsidR="003B0B8B">
        <w:rPr>
          <w:rFonts w:ascii="Arial" w:hAnsi="Arial" w:cs="Arial"/>
          <w:sz w:val="24"/>
          <w:szCs w:val="24"/>
        </w:rPr>
        <w:t>es y de ley, entre otros temas.</w:t>
      </w:r>
    </w:p>
    <w:p w:rsidR="003F5CA8" w:rsidRPr="0019079D" w:rsidRDefault="003F5CA8" w:rsidP="003F5CA8">
      <w:pPr>
        <w:pStyle w:val="Prrafodelista"/>
        <w:numPr>
          <w:ilvl w:val="0"/>
          <w:numId w:val="10"/>
        </w:numPr>
        <w:ind w:left="426"/>
        <w:jc w:val="both"/>
        <w:rPr>
          <w:rFonts w:ascii="Arial" w:hAnsi="Arial" w:cs="Arial"/>
          <w:sz w:val="24"/>
          <w:szCs w:val="24"/>
        </w:rPr>
      </w:pPr>
      <w:r w:rsidRPr="0019079D">
        <w:rPr>
          <w:rFonts w:ascii="Arial" w:hAnsi="Arial" w:cs="Arial"/>
          <w:sz w:val="24"/>
          <w:szCs w:val="24"/>
        </w:rPr>
        <w:t>Se realizó el reconocimiento de los servidores públicos que ejecutan las actividades de atención al ciudadano otorgando incentivos a los mejores desempeños.</w:t>
      </w:r>
    </w:p>
    <w:p w:rsidR="003F5CA8" w:rsidRPr="0019079D" w:rsidRDefault="003F5CA8" w:rsidP="003F5CA8">
      <w:pPr>
        <w:pStyle w:val="Prrafodelista"/>
        <w:numPr>
          <w:ilvl w:val="0"/>
          <w:numId w:val="10"/>
        </w:numPr>
        <w:ind w:left="426"/>
        <w:jc w:val="both"/>
        <w:rPr>
          <w:rFonts w:ascii="Arial" w:hAnsi="Arial" w:cs="Arial"/>
          <w:sz w:val="24"/>
          <w:szCs w:val="24"/>
        </w:rPr>
      </w:pPr>
      <w:r w:rsidRPr="0019079D">
        <w:rPr>
          <w:rFonts w:ascii="Arial" w:hAnsi="Arial" w:cs="Arial"/>
          <w:sz w:val="24"/>
          <w:szCs w:val="24"/>
        </w:rPr>
        <w:t xml:space="preserve">Se presentó a los Comités de Desarrollo Humano y Empresarial (CODHES) de la EAAB-ESP, desarrollados con las Organizaciones Sindicales, la propuesta de </w:t>
      </w:r>
      <w:r w:rsidRPr="0019079D">
        <w:rPr>
          <w:rFonts w:ascii="Arial" w:hAnsi="Arial" w:cs="Arial"/>
          <w:i/>
          <w:sz w:val="24"/>
          <w:szCs w:val="24"/>
        </w:rPr>
        <w:t>Plan de Incentivos</w:t>
      </w:r>
      <w:r w:rsidRPr="0019079D">
        <w:rPr>
          <w:rFonts w:ascii="Arial" w:hAnsi="Arial" w:cs="Arial"/>
          <w:sz w:val="24"/>
          <w:szCs w:val="24"/>
        </w:rPr>
        <w:t xml:space="preserve"> para su revisión.</w:t>
      </w:r>
    </w:p>
    <w:p w:rsidR="003F5CA8" w:rsidRPr="0019079D" w:rsidRDefault="003F5CA8" w:rsidP="003F5CA8">
      <w:pPr>
        <w:pStyle w:val="Prrafodelista"/>
        <w:numPr>
          <w:ilvl w:val="0"/>
          <w:numId w:val="10"/>
        </w:numPr>
        <w:ind w:left="426"/>
        <w:jc w:val="both"/>
        <w:rPr>
          <w:rFonts w:ascii="Arial" w:hAnsi="Arial" w:cs="Arial"/>
          <w:sz w:val="24"/>
          <w:szCs w:val="24"/>
        </w:rPr>
      </w:pPr>
      <w:r w:rsidRPr="0019079D">
        <w:rPr>
          <w:rFonts w:ascii="Arial" w:hAnsi="Arial" w:cs="Arial"/>
          <w:sz w:val="24"/>
          <w:szCs w:val="24"/>
        </w:rPr>
        <w:t>2.336 servidores participaron en la medición del clima organizacional logrando el 76%, 30 puntos por encima de la medición anterior. Se logró el 70.18% en el indicador de Índice de Clima y Cultura, 3.63 por encima de la medición anterior.</w:t>
      </w:r>
    </w:p>
    <w:p w:rsidR="003F5CA8" w:rsidRPr="0019079D" w:rsidRDefault="003F5CA8" w:rsidP="003F5CA8">
      <w:pPr>
        <w:pStyle w:val="Prrafodelista"/>
        <w:numPr>
          <w:ilvl w:val="0"/>
          <w:numId w:val="10"/>
        </w:numPr>
        <w:ind w:left="426"/>
        <w:jc w:val="both"/>
        <w:rPr>
          <w:rFonts w:ascii="Arial" w:hAnsi="Arial" w:cs="Arial"/>
          <w:sz w:val="24"/>
          <w:szCs w:val="24"/>
        </w:rPr>
      </w:pPr>
      <w:r w:rsidRPr="0019079D">
        <w:rPr>
          <w:rFonts w:ascii="Arial" w:hAnsi="Arial" w:cs="Arial"/>
          <w:sz w:val="24"/>
          <w:szCs w:val="24"/>
        </w:rPr>
        <w:t xml:space="preserve">En la medición de clima organizacional se encontró que el TOM (Top </w:t>
      </w:r>
      <w:proofErr w:type="spellStart"/>
      <w:r w:rsidR="003B0B8B" w:rsidRPr="0019079D">
        <w:rPr>
          <w:rFonts w:ascii="Arial" w:hAnsi="Arial" w:cs="Arial"/>
          <w:sz w:val="24"/>
          <w:szCs w:val="24"/>
        </w:rPr>
        <w:t>Of</w:t>
      </w:r>
      <w:proofErr w:type="spellEnd"/>
      <w:r w:rsidR="003B0B8B" w:rsidRPr="0019079D">
        <w:rPr>
          <w:rFonts w:ascii="Arial" w:hAnsi="Arial" w:cs="Arial"/>
          <w:sz w:val="24"/>
          <w:szCs w:val="24"/>
        </w:rPr>
        <w:t xml:space="preserve"> </w:t>
      </w:r>
      <w:proofErr w:type="spellStart"/>
      <w:r w:rsidR="003B0B8B" w:rsidRPr="0019079D">
        <w:rPr>
          <w:rFonts w:ascii="Arial" w:hAnsi="Arial" w:cs="Arial"/>
          <w:sz w:val="24"/>
          <w:szCs w:val="24"/>
        </w:rPr>
        <w:t>Mind</w:t>
      </w:r>
      <w:proofErr w:type="spellEnd"/>
      <w:r w:rsidRPr="0019079D">
        <w:rPr>
          <w:rFonts w:ascii="Arial" w:hAnsi="Arial" w:cs="Arial"/>
          <w:sz w:val="24"/>
          <w:szCs w:val="24"/>
        </w:rPr>
        <w:t>) llegó al 95,57 y el orgullo a 95,45.</w:t>
      </w:r>
    </w:p>
    <w:p w:rsidR="003F5CA8" w:rsidRPr="0019079D" w:rsidRDefault="003F5CA8" w:rsidP="003F5CA8">
      <w:pPr>
        <w:pStyle w:val="Prrafodelista"/>
        <w:numPr>
          <w:ilvl w:val="0"/>
          <w:numId w:val="10"/>
        </w:numPr>
        <w:ind w:left="426"/>
        <w:jc w:val="both"/>
        <w:rPr>
          <w:rFonts w:ascii="Arial" w:hAnsi="Arial" w:cs="Arial"/>
          <w:sz w:val="24"/>
          <w:szCs w:val="24"/>
        </w:rPr>
      </w:pPr>
      <w:r w:rsidRPr="0019079D">
        <w:rPr>
          <w:rFonts w:ascii="Arial" w:hAnsi="Arial" w:cs="Arial"/>
          <w:sz w:val="24"/>
          <w:szCs w:val="24"/>
        </w:rPr>
        <w:t>Se adelantó la ejecución del plan de intervención en clima organizacional en 30 áreas integradas por 505 trabajadores.</w:t>
      </w:r>
    </w:p>
    <w:p w:rsidR="003F5CA8" w:rsidRPr="0019079D" w:rsidRDefault="003F5CA8" w:rsidP="003F5CA8">
      <w:pPr>
        <w:jc w:val="both"/>
        <w:rPr>
          <w:rFonts w:ascii="Arial" w:hAnsi="Arial" w:cs="Arial"/>
          <w:b/>
          <w:sz w:val="24"/>
          <w:szCs w:val="24"/>
        </w:rPr>
      </w:pPr>
      <w:r w:rsidRPr="0019079D">
        <w:rPr>
          <w:rFonts w:ascii="Arial" w:hAnsi="Arial" w:cs="Arial"/>
          <w:b/>
          <w:sz w:val="24"/>
          <w:szCs w:val="24"/>
        </w:rPr>
        <w:t>Compensación y beneficios</w:t>
      </w:r>
    </w:p>
    <w:p w:rsidR="003F5CA8" w:rsidRPr="0019079D" w:rsidRDefault="003F5CA8" w:rsidP="003F5CA8">
      <w:pPr>
        <w:pStyle w:val="Prrafodelista"/>
        <w:numPr>
          <w:ilvl w:val="0"/>
          <w:numId w:val="10"/>
        </w:numPr>
        <w:ind w:left="426"/>
        <w:jc w:val="both"/>
        <w:rPr>
          <w:rFonts w:ascii="Arial" w:hAnsi="Arial" w:cs="Arial"/>
          <w:sz w:val="24"/>
          <w:szCs w:val="24"/>
        </w:rPr>
      </w:pPr>
      <w:r w:rsidRPr="0019079D">
        <w:rPr>
          <w:rFonts w:ascii="Arial" w:hAnsi="Arial" w:cs="Arial"/>
          <w:sz w:val="24"/>
          <w:szCs w:val="24"/>
        </w:rPr>
        <w:t>En promedio se pagaron 3.505 mesadas pensionales mediante contrato de Fiducia que reduce tiempos, costos y mejora la atención de los pensionados de la EAAB-ESP.</w:t>
      </w:r>
    </w:p>
    <w:p w:rsidR="003F5CA8" w:rsidRPr="0019079D" w:rsidRDefault="003F5CA8" w:rsidP="003F5CA8">
      <w:pPr>
        <w:pStyle w:val="Prrafodelista"/>
        <w:numPr>
          <w:ilvl w:val="0"/>
          <w:numId w:val="10"/>
        </w:numPr>
        <w:ind w:left="426"/>
        <w:jc w:val="both"/>
        <w:rPr>
          <w:rFonts w:ascii="Arial" w:hAnsi="Arial" w:cs="Arial"/>
          <w:sz w:val="24"/>
          <w:szCs w:val="24"/>
        </w:rPr>
      </w:pPr>
      <w:r w:rsidRPr="0019079D">
        <w:rPr>
          <w:rFonts w:ascii="Arial" w:hAnsi="Arial" w:cs="Arial"/>
          <w:sz w:val="24"/>
          <w:szCs w:val="24"/>
        </w:rPr>
        <w:t>En el marco de la política de austeridad en el gasto de la EAAB-ESP se dispuso información detallada de la ejecución de horas extras para que las gerencias de la Empresa realicen el control de las mismas y se tomen medidas de austerida</w:t>
      </w:r>
      <w:r w:rsidR="003B0B8B">
        <w:rPr>
          <w:rFonts w:ascii="Arial" w:hAnsi="Arial" w:cs="Arial"/>
          <w:sz w:val="24"/>
          <w:szCs w:val="24"/>
        </w:rPr>
        <w:t>d.</w:t>
      </w:r>
    </w:p>
    <w:p w:rsidR="003F5CA8" w:rsidRPr="0019079D" w:rsidRDefault="003F5CA8" w:rsidP="003F5CA8">
      <w:pPr>
        <w:pStyle w:val="Prrafodelista"/>
        <w:numPr>
          <w:ilvl w:val="0"/>
          <w:numId w:val="10"/>
        </w:numPr>
        <w:ind w:left="426"/>
        <w:jc w:val="both"/>
        <w:rPr>
          <w:rFonts w:ascii="Arial" w:hAnsi="Arial" w:cs="Arial"/>
          <w:sz w:val="24"/>
          <w:szCs w:val="24"/>
        </w:rPr>
      </w:pPr>
      <w:r w:rsidRPr="0019079D">
        <w:rPr>
          <w:rFonts w:ascii="Arial" w:hAnsi="Arial" w:cs="Arial"/>
          <w:sz w:val="24"/>
          <w:szCs w:val="24"/>
        </w:rPr>
        <w:t>Se logró la reducción del 85% en la radicación extemporánea de incapacidades frente al comportamiento del 2018, luego de darle estricto cumplimiento a lo establecido en la Circular 14 del 3 de agosto del 2016, a partir de enero del 2019, reportando ante la Oficina de Investigaciones Disciplinarias los casos de las incapacidades radicadas fuera de los tiempos previstos por dicha circular.</w:t>
      </w:r>
    </w:p>
    <w:p w:rsidR="003F5CA8" w:rsidRPr="0019079D" w:rsidRDefault="003F5CA8" w:rsidP="003F5CA8">
      <w:pPr>
        <w:jc w:val="both"/>
        <w:rPr>
          <w:rFonts w:ascii="Arial" w:hAnsi="Arial" w:cs="Arial"/>
          <w:b/>
          <w:sz w:val="24"/>
          <w:szCs w:val="24"/>
        </w:rPr>
      </w:pPr>
      <w:r w:rsidRPr="0019079D">
        <w:rPr>
          <w:rFonts w:ascii="Arial" w:hAnsi="Arial" w:cs="Arial"/>
          <w:b/>
          <w:sz w:val="24"/>
          <w:szCs w:val="24"/>
        </w:rPr>
        <w:t>Gestión de Desarrollo Organizacional</w:t>
      </w:r>
    </w:p>
    <w:p w:rsidR="003F5CA8" w:rsidRPr="0019079D" w:rsidRDefault="003F5CA8" w:rsidP="003F5CA8">
      <w:pPr>
        <w:pStyle w:val="Prrafodelista"/>
        <w:numPr>
          <w:ilvl w:val="0"/>
          <w:numId w:val="10"/>
        </w:numPr>
        <w:ind w:left="426"/>
        <w:jc w:val="both"/>
        <w:rPr>
          <w:rFonts w:ascii="Arial" w:hAnsi="Arial" w:cs="Arial"/>
          <w:sz w:val="24"/>
          <w:szCs w:val="24"/>
        </w:rPr>
      </w:pPr>
      <w:r w:rsidRPr="0019079D">
        <w:rPr>
          <w:rFonts w:ascii="Arial" w:hAnsi="Arial" w:cs="Arial"/>
          <w:sz w:val="24"/>
          <w:szCs w:val="24"/>
        </w:rPr>
        <w:t>Se definió el Modelo de Talento Humano para la EAAB-ESP, se establecieron los atributos junto con los líderes de la organización, los cuales son insumo para el diseño del modelo de competencias de la Empresa. Se capacitaron funcionarios clave de la Empresa en el Modelo de Talento Humano, constituyéndolos en embajadores de la cultura organizacional.</w:t>
      </w:r>
    </w:p>
    <w:p w:rsidR="003F5CA8" w:rsidRPr="0019079D" w:rsidRDefault="003B0B8B" w:rsidP="003F5CA8">
      <w:pPr>
        <w:pStyle w:val="Prrafodelista"/>
        <w:numPr>
          <w:ilvl w:val="0"/>
          <w:numId w:val="10"/>
        </w:numPr>
        <w:ind w:left="426"/>
        <w:jc w:val="both"/>
        <w:rPr>
          <w:rFonts w:ascii="Arial" w:hAnsi="Arial" w:cs="Arial"/>
          <w:sz w:val="24"/>
          <w:szCs w:val="24"/>
        </w:rPr>
      </w:pPr>
      <w:r w:rsidRPr="003B0B8B">
        <w:rPr>
          <w:rFonts w:ascii="Arial" w:hAnsi="Arial" w:cs="Arial"/>
          <w:sz w:val="24"/>
          <w:szCs w:val="24"/>
        </w:rPr>
        <w:t xml:space="preserve">Se realizaron </w:t>
      </w:r>
      <w:r w:rsidR="003F5CA8" w:rsidRPr="0019079D">
        <w:rPr>
          <w:rFonts w:ascii="Arial" w:hAnsi="Arial" w:cs="Arial"/>
          <w:sz w:val="24"/>
          <w:szCs w:val="24"/>
        </w:rPr>
        <w:t>19 talleres de sensibilización en “Gestión del Cambio” dirigidos a los colaboradores, brindando herramientas para liderar cambios, considerando el contexto de la Empresa.</w:t>
      </w:r>
    </w:p>
    <w:p w:rsidR="003F5CA8" w:rsidRPr="0019079D" w:rsidRDefault="003F5CA8" w:rsidP="003F5CA8">
      <w:pPr>
        <w:pStyle w:val="Prrafodelista"/>
        <w:numPr>
          <w:ilvl w:val="0"/>
          <w:numId w:val="10"/>
        </w:numPr>
        <w:ind w:left="426"/>
        <w:jc w:val="both"/>
        <w:rPr>
          <w:rFonts w:ascii="Arial" w:hAnsi="Arial" w:cs="Arial"/>
          <w:sz w:val="24"/>
          <w:szCs w:val="24"/>
        </w:rPr>
      </w:pPr>
      <w:r w:rsidRPr="0019079D">
        <w:rPr>
          <w:rFonts w:ascii="Arial" w:hAnsi="Arial" w:cs="Arial"/>
          <w:sz w:val="24"/>
          <w:szCs w:val="24"/>
        </w:rPr>
        <w:t>Intervención a los líderes funcionales y aquellos identificados como líderes naturales en la Empresa.</w:t>
      </w:r>
    </w:p>
    <w:p w:rsidR="003F5CA8" w:rsidRPr="0019079D" w:rsidRDefault="003F5CA8" w:rsidP="003F5CA8">
      <w:pPr>
        <w:pStyle w:val="Prrafodelista"/>
        <w:numPr>
          <w:ilvl w:val="0"/>
          <w:numId w:val="10"/>
        </w:numPr>
        <w:ind w:left="426"/>
        <w:jc w:val="both"/>
        <w:rPr>
          <w:rFonts w:ascii="Arial" w:hAnsi="Arial" w:cs="Arial"/>
          <w:sz w:val="24"/>
          <w:szCs w:val="24"/>
        </w:rPr>
      </w:pPr>
      <w:r w:rsidRPr="0019079D">
        <w:rPr>
          <w:rFonts w:ascii="Arial" w:hAnsi="Arial" w:cs="Arial"/>
          <w:sz w:val="24"/>
          <w:szCs w:val="24"/>
        </w:rPr>
        <w:t>Se actualizaron 77 manuales de funciones y competencias laborales de los cargos de empleos públicos de la Empresa, de acuerdo con la normatividad de la Función Pública y el Departamento Administrativo del Servicio Civil Distrital.</w:t>
      </w:r>
    </w:p>
    <w:p w:rsidR="003F5CA8" w:rsidRPr="0019079D" w:rsidRDefault="003F5CA8" w:rsidP="003F5CA8">
      <w:pPr>
        <w:pStyle w:val="Prrafodelista"/>
        <w:numPr>
          <w:ilvl w:val="0"/>
          <w:numId w:val="10"/>
        </w:numPr>
        <w:ind w:left="426"/>
        <w:jc w:val="both"/>
        <w:rPr>
          <w:rFonts w:ascii="Arial" w:hAnsi="Arial" w:cs="Arial"/>
          <w:sz w:val="24"/>
          <w:szCs w:val="24"/>
        </w:rPr>
      </w:pPr>
      <w:r w:rsidRPr="0019079D">
        <w:rPr>
          <w:rFonts w:ascii="Arial" w:hAnsi="Arial" w:cs="Arial"/>
          <w:sz w:val="24"/>
          <w:szCs w:val="24"/>
        </w:rPr>
        <w:t>Se realizó la compilación de los manuales de funciones y requisitos mínimos de los cargos de trabajadores oficiales mediante las Resoluciones 0293 y 0445 de 2019.</w:t>
      </w:r>
    </w:p>
    <w:p w:rsidR="003F5CA8" w:rsidRPr="0019079D" w:rsidRDefault="003F5CA8" w:rsidP="003F5CA8">
      <w:pPr>
        <w:pStyle w:val="Prrafodelista"/>
        <w:numPr>
          <w:ilvl w:val="0"/>
          <w:numId w:val="10"/>
        </w:numPr>
        <w:ind w:left="426"/>
        <w:jc w:val="both"/>
        <w:rPr>
          <w:rFonts w:ascii="Arial" w:hAnsi="Arial" w:cs="Arial"/>
          <w:sz w:val="24"/>
          <w:szCs w:val="24"/>
        </w:rPr>
      </w:pPr>
      <w:r w:rsidRPr="0019079D">
        <w:rPr>
          <w:rFonts w:ascii="Arial" w:hAnsi="Arial" w:cs="Arial"/>
          <w:sz w:val="24"/>
          <w:szCs w:val="24"/>
        </w:rPr>
        <w:t>Se realizó la concertación de los compromisos laborales con los trabajadores con contrato a término fijo, no se concertó con aquellos que tienen permiso sindical permanente o que ya no laboran en la Empresa.</w:t>
      </w:r>
    </w:p>
    <w:p w:rsidR="003F5CA8" w:rsidRPr="0019079D" w:rsidRDefault="003F5CA8" w:rsidP="00A44284">
      <w:pPr>
        <w:jc w:val="both"/>
        <w:rPr>
          <w:rFonts w:ascii="Arial" w:hAnsi="Arial" w:cs="Arial"/>
          <w:b/>
          <w:sz w:val="24"/>
          <w:szCs w:val="24"/>
        </w:rPr>
      </w:pPr>
      <w:r w:rsidRPr="0019079D">
        <w:rPr>
          <w:rFonts w:ascii="Arial" w:hAnsi="Arial" w:cs="Arial"/>
          <w:b/>
          <w:sz w:val="24"/>
          <w:szCs w:val="24"/>
        </w:rPr>
        <w:t>Gestión del Conocimiento e Innovación</w:t>
      </w:r>
    </w:p>
    <w:p w:rsidR="003F5CA8" w:rsidRPr="0019079D" w:rsidRDefault="003F5CA8" w:rsidP="003F5CA8">
      <w:pPr>
        <w:pStyle w:val="Prrafodelista"/>
        <w:numPr>
          <w:ilvl w:val="0"/>
          <w:numId w:val="10"/>
        </w:numPr>
        <w:ind w:left="426"/>
        <w:jc w:val="both"/>
        <w:rPr>
          <w:rFonts w:ascii="Arial" w:hAnsi="Arial" w:cs="Arial"/>
          <w:sz w:val="24"/>
          <w:szCs w:val="24"/>
        </w:rPr>
      </w:pPr>
      <w:r w:rsidRPr="0019079D">
        <w:rPr>
          <w:rFonts w:ascii="Arial" w:hAnsi="Arial" w:cs="Arial"/>
          <w:sz w:val="24"/>
          <w:szCs w:val="24"/>
        </w:rPr>
        <w:t>Se construyó directorio de páginas amarillas de la EAAB-ESP en el cual se identificaron los expertos de la Empresa.</w:t>
      </w:r>
    </w:p>
    <w:p w:rsidR="003F5CA8" w:rsidRPr="0019079D" w:rsidRDefault="003F5CA8" w:rsidP="003F5CA8">
      <w:pPr>
        <w:jc w:val="both"/>
        <w:rPr>
          <w:rFonts w:ascii="Arial" w:hAnsi="Arial" w:cs="Arial"/>
          <w:b/>
          <w:sz w:val="24"/>
          <w:szCs w:val="24"/>
        </w:rPr>
      </w:pPr>
      <w:r w:rsidRPr="0019079D">
        <w:rPr>
          <w:rFonts w:ascii="Arial" w:hAnsi="Arial" w:cs="Arial"/>
          <w:b/>
          <w:sz w:val="24"/>
          <w:szCs w:val="24"/>
        </w:rPr>
        <w:t>Gestión de la Integridad</w:t>
      </w:r>
    </w:p>
    <w:p w:rsidR="003F5CA8" w:rsidRPr="0019079D" w:rsidRDefault="003F5CA8" w:rsidP="003F5CA8">
      <w:pPr>
        <w:pStyle w:val="Prrafodelista"/>
        <w:numPr>
          <w:ilvl w:val="0"/>
          <w:numId w:val="10"/>
        </w:numPr>
        <w:ind w:left="426"/>
        <w:jc w:val="both"/>
        <w:rPr>
          <w:rFonts w:ascii="Arial" w:hAnsi="Arial" w:cs="Arial"/>
          <w:sz w:val="24"/>
          <w:szCs w:val="24"/>
        </w:rPr>
      </w:pPr>
      <w:r w:rsidRPr="0019079D">
        <w:rPr>
          <w:rFonts w:ascii="Arial" w:hAnsi="Arial" w:cs="Arial"/>
          <w:sz w:val="24"/>
          <w:szCs w:val="24"/>
        </w:rPr>
        <w:t>75 servidores participaron en el diplomado de Formador de Formadores con énfasis en gestión del conocimiento y cultura de la integridad en la empresa.</w:t>
      </w:r>
    </w:p>
    <w:p w:rsidR="003F5CA8" w:rsidRPr="0019079D" w:rsidRDefault="003F5CA8" w:rsidP="003F5CA8">
      <w:pPr>
        <w:pStyle w:val="Prrafodelista"/>
        <w:numPr>
          <w:ilvl w:val="0"/>
          <w:numId w:val="10"/>
        </w:numPr>
        <w:ind w:left="426"/>
        <w:jc w:val="both"/>
        <w:rPr>
          <w:rFonts w:ascii="Arial" w:hAnsi="Arial" w:cs="Arial"/>
          <w:sz w:val="24"/>
          <w:szCs w:val="24"/>
        </w:rPr>
      </w:pPr>
      <w:r w:rsidRPr="0019079D">
        <w:rPr>
          <w:rFonts w:ascii="Arial" w:hAnsi="Arial" w:cs="Arial"/>
          <w:sz w:val="24"/>
          <w:szCs w:val="24"/>
        </w:rPr>
        <w:t>Se conformó el equipo de Gestores de Integridad de la EAAB-ESP.</w:t>
      </w:r>
    </w:p>
    <w:p w:rsidR="003F5CA8" w:rsidRPr="0019079D" w:rsidRDefault="003F5CA8" w:rsidP="003F5CA8">
      <w:pPr>
        <w:pStyle w:val="Prrafodelista"/>
        <w:numPr>
          <w:ilvl w:val="0"/>
          <w:numId w:val="10"/>
        </w:numPr>
        <w:ind w:left="426"/>
        <w:jc w:val="both"/>
        <w:rPr>
          <w:rFonts w:ascii="Arial" w:hAnsi="Arial" w:cs="Arial"/>
          <w:sz w:val="24"/>
          <w:szCs w:val="24"/>
        </w:rPr>
      </w:pPr>
      <w:r w:rsidRPr="0019079D">
        <w:rPr>
          <w:rFonts w:ascii="Arial" w:hAnsi="Arial" w:cs="Arial"/>
          <w:sz w:val="24"/>
          <w:szCs w:val="24"/>
        </w:rPr>
        <w:t>Se capacitó a los gestores de integridad en el contenido del Código de Integridad.</w:t>
      </w:r>
    </w:p>
    <w:p w:rsidR="003F5CA8" w:rsidRPr="0019079D" w:rsidRDefault="003F5CA8" w:rsidP="003F5CA8">
      <w:pPr>
        <w:pStyle w:val="Prrafodelista"/>
        <w:numPr>
          <w:ilvl w:val="0"/>
          <w:numId w:val="10"/>
        </w:numPr>
        <w:ind w:left="426"/>
        <w:jc w:val="both"/>
        <w:rPr>
          <w:rFonts w:ascii="Arial" w:hAnsi="Arial" w:cs="Arial"/>
          <w:sz w:val="24"/>
          <w:szCs w:val="24"/>
        </w:rPr>
      </w:pPr>
      <w:r w:rsidRPr="0019079D">
        <w:rPr>
          <w:rFonts w:ascii="Arial" w:hAnsi="Arial" w:cs="Arial"/>
          <w:sz w:val="24"/>
          <w:szCs w:val="24"/>
        </w:rPr>
        <w:t>En el marco de la conmemoración del día del servidor público, se realizó una jornada de reflexión sobre los valores y la importancia de enmarcar las actuaciones en los valores establecidos en el código, jornada que contó con la participación de 1.000 trabajadores aproximadamente.</w:t>
      </w:r>
    </w:p>
    <w:p w:rsidR="003F5CA8" w:rsidRPr="0019079D" w:rsidRDefault="003F5CA8" w:rsidP="003F5CA8">
      <w:pPr>
        <w:pStyle w:val="Prrafodelista"/>
        <w:numPr>
          <w:ilvl w:val="0"/>
          <w:numId w:val="10"/>
        </w:numPr>
        <w:ind w:left="426"/>
        <w:jc w:val="both"/>
        <w:rPr>
          <w:rFonts w:ascii="Arial" w:hAnsi="Arial" w:cs="Arial"/>
          <w:sz w:val="24"/>
          <w:szCs w:val="24"/>
        </w:rPr>
      </w:pPr>
      <w:r w:rsidRPr="0019079D">
        <w:rPr>
          <w:rFonts w:ascii="Arial" w:hAnsi="Arial" w:cs="Arial"/>
          <w:sz w:val="24"/>
          <w:szCs w:val="24"/>
        </w:rPr>
        <w:t xml:space="preserve">A través de piezas gráficas como </w:t>
      </w:r>
      <w:proofErr w:type="spellStart"/>
      <w:r w:rsidRPr="0019079D">
        <w:rPr>
          <w:rFonts w:ascii="Arial" w:hAnsi="Arial" w:cs="Arial"/>
          <w:sz w:val="24"/>
          <w:szCs w:val="24"/>
        </w:rPr>
        <w:t>stickers</w:t>
      </w:r>
      <w:proofErr w:type="spellEnd"/>
      <w:r w:rsidRPr="0019079D">
        <w:rPr>
          <w:rFonts w:ascii="Arial" w:hAnsi="Arial" w:cs="Arial"/>
          <w:sz w:val="24"/>
          <w:szCs w:val="24"/>
        </w:rPr>
        <w:t>, tropezones, pendones, carteleras, entre otros, se visibilizaron mensajes asociados a los valores del Código de Integridad en todas las sedes de la Empresa.</w:t>
      </w:r>
    </w:p>
    <w:p w:rsidR="003F5CA8" w:rsidRPr="0019079D" w:rsidRDefault="003F5CA8" w:rsidP="003F5CA8">
      <w:pPr>
        <w:pStyle w:val="Prrafodelista"/>
        <w:numPr>
          <w:ilvl w:val="0"/>
          <w:numId w:val="10"/>
        </w:numPr>
        <w:ind w:left="426"/>
        <w:jc w:val="both"/>
        <w:rPr>
          <w:rFonts w:ascii="Arial" w:hAnsi="Arial" w:cs="Arial"/>
          <w:sz w:val="24"/>
          <w:szCs w:val="24"/>
        </w:rPr>
      </w:pPr>
      <w:r w:rsidRPr="0019079D">
        <w:rPr>
          <w:rFonts w:ascii="Arial" w:hAnsi="Arial" w:cs="Arial"/>
          <w:sz w:val="24"/>
          <w:szCs w:val="24"/>
        </w:rPr>
        <w:t>Se realizó el primer diagnóstico de integridad de la EAAB-ESP mediante la aplicación de encuestas internas y externas, concursos (De pintura y sopa de letras), con el fin de medir los niveles de apropiación y percepción de los valores del servidor público.</w:t>
      </w:r>
    </w:p>
    <w:p w:rsidR="003F5CA8" w:rsidRPr="0019079D" w:rsidRDefault="003F5CA8" w:rsidP="003F5CA8">
      <w:pPr>
        <w:pStyle w:val="Prrafodelista"/>
        <w:numPr>
          <w:ilvl w:val="0"/>
          <w:numId w:val="10"/>
        </w:numPr>
        <w:ind w:left="426"/>
        <w:jc w:val="both"/>
        <w:rPr>
          <w:rFonts w:ascii="Arial" w:hAnsi="Arial" w:cs="Arial"/>
          <w:sz w:val="24"/>
          <w:szCs w:val="24"/>
        </w:rPr>
      </w:pPr>
      <w:r w:rsidRPr="0019079D">
        <w:rPr>
          <w:rFonts w:ascii="Arial" w:hAnsi="Arial" w:cs="Arial"/>
          <w:sz w:val="24"/>
          <w:szCs w:val="24"/>
        </w:rPr>
        <w:t>Se capacitó a más de 1.200 trabajadores en el contenido del Código de Integridad.</w:t>
      </w:r>
    </w:p>
    <w:p w:rsidR="003F5CA8" w:rsidRPr="0019079D" w:rsidRDefault="003F5CA8" w:rsidP="003F5CA8">
      <w:pPr>
        <w:pStyle w:val="Prrafodelista"/>
        <w:numPr>
          <w:ilvl w:val="0"/>
          <w:numId w:val="10"/>
        </w:numPr>
        <w:ind w:left="426"/>
        <w:jc w:val="both"/>
        <w:rPr>
          <w:rFonts w:ascii="Arial" w:hAnsi="Arial" w:cs="Arial"/>
          <w:sz w:val="24"/>
          <w:szCs w:val="24"/>
        </w:rPr>
      </w:pPr>
      <w:r w:rsidRPr="0019079D">
        <w:rPr>
          <w:rFonts w:ascii="Arial" w:hAnsi="Arial" w:cs="Arial"/>
          <w:sz w:val="24"/>
          <w:szCs w:val="24"/>
        </w:rPr>
        <w:t xml:space="preserve">Se entregaron más de 1.534 cartillas del Código de Integridad, exclusivamente </w:t>
      </w:r>
      <w:r w:rsidR="00BC070E">
        <w:rPr>
          <w:rFonts w:ascii="Arial" w:hAnsi="Arial" w:cs="Arial"/>
          <w:sz w:val="24"/>
          <w:szCs w:val="24"/>
        </w:rPr>
        <w:t xml:space="preserve"> </w:t>
      </w:r>
      <w:r w:rsidRPr="0019079D">
        <w:rPr>
          <w:rFonts w:ascii="Arial" w:hAnsi="Arial" w:cs="Arial"/>
          <w:sz w:val="24"/>
          <w:szCs w:val="24"/>
        </w:rPr>
        <w:t>a los trabajadores de terreno.</w:t>
      </w:r>
    </w:p>
    <w:p w:rsidR="003F5CA8" w:rsidRPr="0019079D" w:rsidRDefault="003F5CA8" w:rsidP="003F5CA8">
      <w:pPr>
        <w:jc w:val="both"/>
        <w:rPr>
          <w:rFonts w:ascii="Arial" w:hAnsi="Arial" w:cs="Arial"/>
          <w:b/>
          <w:sz w:val="24"/>
          <w:szCs w:val="24"/>
        </w:rPr>
      </w:pPr>
      <w:r w:rsidRPr="0019079D">
        <w:rPr>
          <w:rFonts w:ascii="Arial" w:hAnsi="Arial" w:cs="Arial"/>
          <w:b/>
          <w:sz w:val="24"/>
          <w:szCs w:val="24"/>
        </w:rPr>
        <w:t>Reconocimientos</w:t>
      </w:r>
    </w:p>
    <w:p w:rsidR="003F5CA8" w:rsidRPr="0019079D" w:rsidRDefault="003F5CA8" w:rsidP="003F5CA8">
      <w:pPr>
        <w:pStyle w:val="Prrafodelista"/>
        <w:numPr>
          <w:ilvl w:val="0"/>
          <w:numId w:val="10"/>
        </w:numPr>
        <w:ind w:left="426"/>
        <w:jc w:val="both"/>
        <w:rPr>
          <w:rFonts w:ascii="Arial" w:hAnsi="Arial" w:cs="Arial"/>
          <w:sz w:val="24"/>
          <w:szCs w:val="24"/>
        </w:rPr>
      </w:pPr>
      <w:r w:rsidRPr="0019079D">
        <w:rPr>
          <w:rFonts w:ascii="Arial" w:hAnsi="Arial" w:cs="Arial"/>
          <w:sz w:val="24"/>
          <w:szCs w:val="24"/>
        </w:rPr>
        <w:t>La EAAB-ESP se destacó entre las cinco mejores empresas, en la categoría organizaciones públicas del Premio Colombiano a la Sostenibilidad y las Buenas Prácticas Laborales</w:t>
      </w:r>
      <w:r>
        <w:rPr>
          <w:rFonts w:ascii="Arial" w:hAnsi="Arial" w:cs="Arial"/>
          <w:sz w:val="24"/>
          <w:szCs w:val="24"/>
        </w:rPr>
        <w:t xml:space="preserve"> de la ACRIP</w:t>
      </w:r>
      <w:r w:rsidRPr="00761A61">
        <w:rPr>
          <w:rFonts w:ascii="Arial" w:hAnsi="Arial" w:cs="Arial"/>
          <w:sz w:val="24"/>
          <w:szCs w:val="24"/>
        </w:rPr>
        <w:t xml:space="preserve"> Federación Colombiana de Gestión Humana</w:t>
      </w:r>
      <w:r w:rsidRPr="0019079D">
        <w:rPr>
          <w:rFonts w:ascii="Arial" w:hAnsi="Arial" w:cs="Arial"/>
          <w:sz w:val="24"/>
          <w:szCs w:val="24"/>
        </w:rPr>
        <w:t>.</w:t>
      </w:r>
    </w:p>
    <w:p w:rsidR="003F5CA8" w:rsidRPr="0019079D" w:rsidRDefault="003F5CA8" w:rsidP="003F5CA8">
      <w:pPr>
        <w:pStyle w:val="Prrafodelista"/>
        <w:numPr>
          <w:ilvl w:val="0"/>
          <w:numId w:val="10"/>
        </w:numPr>
        <w:ind w:left="426"/>
        <w:jc w:val="both"/>
        <w:rPr>
          <w:rFonts w:ascii="Arial" w:hAnsi="Arial" w:cs="Arial"/>
          <w:sz w:val="24"/>
          <w:szCs w:val="24"/>
        </w:rPr>
      </w:pPr>
      <w:r w:rsidRPr="0019079D">
        <w:rPr>
          <w:rFonts w:ascii="Arial" w:hAnsi="Arial" w:cs="Arial"/>
          <w:sz w:val="24"/>
          <w:szCs w:val="24"/>
        </w:rPr>
        <w:t xml:space="preserve">La EAAB-ESP fue semifinalista en el premio </w:t>
      </w:r>
      <w:proofErr w:type="spellStart"/>
      <w:r w:rsidRPr="0019079D">
        <w:rPr>
          <w:rFonts w:ascii="Arial" w:hAnsi="Arial" w:cs="Arial"/>
          <w:sz w:val="24"/>
          <w:szCs w:val="24"/>
        </w:rPr>
        <w:t>Andesco</w:t>
      </w:r>
      <w:proofErr w:type="spellEnd"/>
      <w:r w:rsidRPr="0019079D">
        <w:rPr>
          <w:rFonts w:ascii="Arial" w:hAnsi="Arial" w:cs="Arial"/>
          <w:sz w:val="24"/>
          <w:szCs w:val="24"/>
        </w:rPr>
        <w:t xml:space="preserve"> a la sostenibilidad con el programa de Promoción de la Salud y Prevención de la Enfermedad “La ruta del autocuidado” en la categoría de mejor entorno de trabajo, que para el 2019 contó con la asistencia de más de 2.000 trabajadores en las diferentes sesiones realizadas por la Empresa.</w:t>
      </w:r>
    </w:p>
    <w:p w:rsidR="003F5CA8" w:rsidRPr="0019079D" w:rsidRDefault="003F5CA8" w:rsidP="003F5CA8">
      <w:pPr>
        <w:pStyle w:val="Prrafodelista"/>
        <w:numPr>
          <w:ilvl w:val="0"/>
          <w:numId w:val="10"/>
        </w:numPr>
        <w:ind w:left="426"/>
        <w:jc w:val="both"/>
        <w:rPr>
          <w:rFonts w:ascii="Arial" w:hAnsi="Arial" w:cs="Arial"/>
          <w:sz w:val="24"/>
          <w:szCs w:val="24"/>
        </w:rPr>
      </w:pPr>
      <w:r w:rsidRPr="0019079D">
        <w:rPr>
          <w:rFonts w:ascii="Arial" w:hAnsi="Arial" w:cs="Arial"/>
          <w:sz w:val="24"/>
          <w:szCs w:val="24"/>
        </w:rPr>
        <w:t>Se obtuvo una calificación de 98/100 por parte de la Secretaria de Movilidad por el Plan Estratégico de Seguridad Vial, que busca motivar en los colaboradores hábitos y conductas seguras en las vías.</w:t>
      </w:r>
    </w:p>
    <w:p w:rsidR="003F5CA8" w:rsidRPr="0019079D" w:rsidRDefault="003F5CA8" w:rsidP="003F5CA8">
      <w:pPr>
        <w:pStyle w:val="Prrafodelista"/>
        <w:numPr>
          <w:ilvl w:val="0"/>
          <w:numId w:val="10"/>
        </w:numPr>
        <w:ind w:left="426"/>
        <w:jc w:val="both"/>
        <w:rPr>
          <w:rFonts w:ascii="Arial" w:hAnsi="Arial" w:cs="Arial"/>
          <w:sz w:val="24"/>
          <w:szCs w:val="24"/>
        </w:rPr>
      </w:pPr>
      <w:r w:rsidRPr="0019079D">
        <w:rPr>
          <w:rFonts w:ascii="Arial" w:hAnsi="Arial" w:cs="Arial"/>
          <w:sz w:val="24"/>
          <w:szCs w:val="24"/>
        </w:rPr>
        <w:t>La Alcaldía Mayor de Bogotá premio a la EAAB-ESP entre las 5 mejores entidades de 53 adscritas, en la implementación de modalidad de teletrabajo, cuyo objetivo es mejorar la movilidad sostenible, generar mayor productividad, mejorar calidad de sus servidores y el uso efectivo de las tecnologías de la información y comunicación, se cuenta con la participación de 28 teletrabajadores.</w:t>
      </w:r>
    </w:p>
    <w:p w:rsidR="003F5CA8" w:rsidRPr="0019079D" w:rsidRDefault="003F5CA8" w:rsidP="003F5CA8">
      <w:pPr>
        <w:pStyle w:val="Prrafodelista"/>
        <w:numPr>
          <w:ilvl w:val="0"/>
          <w:numId w:val="10"/>
        </w:numPr>
        <w:ind w:left="426"/>
        <w:jc w:val="both"/>
        <w:rPr>
          <w:rFonts w:ascii="Arial" w:hAnsi="Arial" w:cs="Arial"/>
          <w:sz w:val="24"/>
          <w:szCs w:val="24"/>
        </w:rPr>
      </w:pPr>
      <w:r w:rsidRPr="0019079D">
        <w:rPr>
          <w:rFonts w:ascii="Arial" w:hAnsi="Arial" w:cs="Arial"/>
          <w:sz w:val="24"/>
          <w:szCs w:val="24"/>
        </w:rPr>
        <w:t>Pacto Global premio a la Empresa por la Ruta del Autocuidado, programa que ha contado con la participación de 1.900 trabajadores.</w:t>
      </w:r>
    </w:p>
    <w:p w:rsidR="00054848" w:rsidRDefault="00054848" w:rsidP="00433C31">
      <w:pPr>
        <w:pStyle w:val="Prrafodelista"/>
        <w:jc w:val="both"/>
        <w:rPr>
          <w:sz w:val="28"/>
          <w:szCs w:val="28"/>
        </w:rPr>
      </w:pPr>
    </w:p>
    <w:p w:rsidR="00054848" w:rsidRPr="005F3A65" w:rsidRDefault="005F3A65" w:rsidP="005F3A65">
      <w:pPr>
        <w:spacing w:after="200" w:line="276" w:lineRule="auto"/>
        <w:ind w:right="-232"/>
        <w:contextualSpacing/>
        <w:jc w:val="both"/>
        <w:rPr>
          <w:rFonts w:cstheme="minorHAnsi"/>
          <w:color w:val="000000"/>
          <w:sz w:val="28"/>
          <w:szCs w:val="28"/>
          <w:lang w:eastAsia="es-CO"/>
        </w:rPr>
      </w:pPr>
      <w:r>
        <w:rPr>
          <w:rFonts w:cstheme="minorHAnsi"/>
          <w:color w:val="000000"/>
          <w:sz w:val="28"/>
          <w:szCs w:val="28"/>
          <w:lang w:eastAsia="es-CO"/>
        </w:rPr>
        <w:t>1.3 GOBIERNO CORPORATIVO</w:t>
      </w:r>
    </w:p>
    <w:p w:rsidR="0014727C" w:rsidRPr="003E3364" w:rsidRDefault="0014727C" w:rsidP="0072305B">
      <w:pPr>
        <w:pStyle w:val="Prrafodelista"/>
        <w:spacing w:after="200"/>
        <w:ind w:left="0" w:right="-232"/>
        <w:jc w:val="both"/>
        <w:rPr>
          <w:rFonts w:ascii="Arial" w:hAnsi="Arial" w:cs="Arial"/>
          <w:color w:val="000000"/>
          <w:sz w:val="24"/>
          <w:szCs w:val="24"/>
          <w:lang w:eastAsia="es-CO"/>
        </w:rPr>
      </w:pPr>
      <w:r w:rsidRPr="003E3364">
        <w:rPr>
          <w:rFonts w:ascii="Arial" w:hAnsi="Arial" w:cs="Arial"/>
          <w:color w:val="000000"/>
          <w:sz w:val="24"/>
          <w:szCs w:val="24"/>
          <w:lang w:eastAsia="es-CO"/>
        </w:rPr>
        <w:t xml:space="preserve">A Instancias de la Junta Directiva de la </w:t>
      </w:r>
      <w:r w:rsidR="005F3A65" w:rsidRPr="003E3364">
        <w:rPr>
          <w:rFonts w:ascii="Arial" w:hAnsi="Arial" w:cs="Arial"/>
          <w:color w:val="000000"/>
          <w:sz w:val="24"/>
          <w:szCs w:val="24"/>
          <w:lang w:eastAsia="es-CO"/>
        </w:rPr>
        <w:t>Empresa</w:t>
      </w:r>
      <w:r w:rsidRPr="003E3364">
        <w:rPr>
          <w:rFonts w:ascii="Arial" w:hAnsi="Arial" w:cs="Arial"/>
          <w:color w:val="000000"/>
          <w:sz w:val="24"/>
          <w:szCs w:val="24"/>
          <w:lang w:eastAsia="es-CO"/>
        </w:rPr>
        <w:t xml:space="preserve">, se presentaron, revisaron y adoptaron decisiones encaminadas a fortalecer el ambiente de control </w:t>
      </w:r>
      <w:r w:rsidR="005F3A65">
        <w:rPr>
          <w:rFonts w:ascii="Arial" w:hAnsi="Arial" w:cs="Arial"/>
          <w:color w:val="000000"/>
          <w:sz w:val="24"/>
          <w:szCs w:val="24"/>
          <w:lang w:eastAsia="es-CO"/>
        </w:rPr>
        <w:t>de la organización</w:t>
      </w:r>
      <w:r w:rsidRPr="003E3364">
        <w:rPr>
          <w:rFonts w:ascii="Arial" w:hAnsi="Arial" w:cs="Arial"/>
          <w:color w:val="000000"/>
          <w:sz w:val="24"/>
          <w:szCs w:val="24"/>
          <w:lang w:eastAsia="es-CO"/>
        </w:rPr>
        <w:t xml:space="preserve">, la estructura del Sistema de Control interno y la transparencia, que demuestran su compromiso con la integridad y los valores éticos. </w:t>
      </w:r>
      <w:r>
        <w:rPr>
          <w:rFonts w:ascii="Arial" w:hAnsi="Arial" w:cs="Arial"/>
          <w:color w:val="000000"/>
          <w:sz w:val="24"/>
          <w:szCs w:val="24"/>
          <w:lang w:eastAsia="es-CO"/>
        </w:rPr>
        <w:t>Esta posición dio origen a los si</w:t>
      </w:r>
      <w:r w:rsidR="005F3A65">
        <w:rPr>
          <w:rFonts w:ascii="Arial" w:hAnsi="Arial" w:cs="Arial"/>
          <w:color w:val="000000"/>
          <w:sz w:val="24"/>
          <w:szCs w:val="24"/>
          <w:lang w:eastAsia="es-CO"/>
        </w:rPr>
        <w:t>guientes actos administrativos:</w:t>
      </w:r>
    </w:p>
    <w:p w:rsidR="00054848" w:rsidRDefault="00054848" w:rsidP="0072305B">
      <w:pPr>
        <w:spacing w:after="200"/>
        <w:ind w:right="-232"/>
        <w:contextualSpacing/>
        <w:jc w:val="both"/>
        <w:rPr>
          <w:rFonts w:ascii="Arial" w:hAnsi="Arial" w:cs="Arial"/>
          <w:color w:val="000000"/>
          <w:lang w:eastAsia="es-CO"/>
        </w:rPr>
      </w:pPr>
      <w:r w:rsidRPr="00054848">
        <w:rPr>
          <w:rFonts w:ascii="Arial" w:hAnsi="Arial" w:cs="Arial"/>
          <w:b/>
          <w:color w:val="000000"/>
          <w:lang w:eastAsia="es-CO"/>
        </w:rPr>
        <w:t>-Acuerdo 5 del 17-01-19</w:t>
      </w:r>
      <w:r w:rsidRPr="00054848">
        <w:rPr>
          <w:rFonts w:ascii="Arial" w:hAnsi="Arial" w:cs="Arial"/>
          <w:color w:val="000000"/>
          <w:lang w:eastAsia="es-CO"/>
        </w:rPr>
        <w:t>, mediante el cual se actualiz</w:t>
      </w:r>
      <w:r w:rsidR="00C46587">
        <w:rPr>
          <w:rFonts w:ascii="Arial" w:hAnsi="Arial" w:cs="Arial"/>
          <w:color w:val="000000"/>
          <w:lang w:eastAsia="es-CO"/>
        </w:rPr>
        <w:t>ó</w:t>
      </w:r>
      <w:r w:rsidRPr="00054848">
        <w:rPr>
          <w:rFonts w:ascii="Arial" w:hAnsi="Arial" w:cs="Arial"/>
          <w:color w:val="000000"/>
          <w:lang w:eastAsia="es-CO"/>
        </w:rPr>
        <w:t xml:space="preserve"> el Marco Estatutario de la EAAB-ESP. La Junta Directiva identificó la necesidad de actualizar y unificar el marco estatutario de la </w:t>
      </w:r>
      <w:r w:rsidR="005F3A65" w:rsidRPr="00054848">
        <w:rPr>
          <w:rFonts w:ascii="Arial" w:hAnsi="Arial" w:cs="Arial"/>
          <w:color w:val="000000"/>
          <w:lang w:eastAsia="es-CO"/>
        </w:rPr>
        <w:t xml:space="preserve">Empresa </w:t>
      </w:r>
      <w:r w:rsidRPr="00054848">
        <w:rPr>
          <w:rFonts w:ascii="Arial" w:hAnsi="Arial" w:cs="Arial"/>
          <w:color w:val="000000"/>
          <w:lang w:eastAsia="es-CO"/>
        </w:rPr>
        <w:t>en consonancia con las disposiciones legales vigentes, los objetivos estratégicos, la realidad empresarial y las buenas prácticas del Gobierno Corporativo, con las cuales se ha comprometido.</w:t>
      </w:r>
    </w:p>
    <w:p w:rsidR="005F3A65" w:rsidRPr="00054848" w:rsidRDefault="005F3A65" w:rsidP="00054848">
      <w:pPr>
        <w:spacing w:after="200" w:line="276" w:lineRule="auto"/>
        <w:ind w:left="-142" w:right="-232"/>
        <w:contextualSpacing/>
        <w:jc w:val="both"/>
        <w:rPr>
          <w:rFonts w:ascii="Arial" w:hAnsi="Arial" w:cs="Arial"/>
          <w:color w:val="000000"/>
          <w:lang w:eastAsia="es-CO"/>
        </w:rPr>
      </w:pPr>
    </w:p>
    <w:p w:rsidR="00054848" w:rsidRPr="00054848" w:rsidRDefault="00054848" w:rsidP="005F3A65">
      <w:pPr>
        <w:spacing w:after="200" w:line="276" w:lineRule="auto"/>
        <w:ind w:right="-232"/>
        <w:contextualSpacing/>
        <w:jc w:val="both"/>
        <w:rPr>
          <w:rFonts w:ascii="Arial" w:hAnsi="Arial" w:cs="Arial"/>
          <w:color w:val="000000"/>
          <w:lang w:eastAsia="es-CO"/>
        </w:rPr>
      </w:pPr>
      <w:r w:rsidRPr="00054848">
        <w:rPr>
          <w:rFonts w:ascii="Arial" w:hAnsi="Arial" w:cs="Arial"/>
          <w:b/>
          <w:color w:val="000000"/>
          <w:lang w:eastAsia="es-CO"/>
        </w:rPr>
        <w:t xml:space="preserve">-Acuerdo 6 del 17-01-19, </w:t>
      </w:r>
      <w:r w:rsidRPr="00054848">
        <w:rPr>
          <w:rFonts w:ascii="Arial" w:hAnsi="Arial" w:cs="Arial"/>
          <w:color w:val="000000"/>
          <w:lang w:eastAsia="es-CO"/>
        </w:rPr>
        <w:t>mediante el cual se actualiz</w:t>
      </w:r>
      <w:r w:rsidR="00C46587">
        <w:rPr>
          <w:rFonts w:ascii="Arial" w:hAnsi="Arial" w:cs="Arial"/>
          <w:color w:val="000000"/>
          <w:lang w:eastAsia="es-CO"/>
        </w:rPr>
        <w:t>ó</w:t>
      </w:r>
      <w:r w:rsidRPr="00054848">
        <w:rPr>
          <w:rFonts w:ascii="Arial" w:hAnsi="Arial" w:cs="Arial"/>
          <w:color w:val="000000"/>
          <w:lang w:eastAsia="es-CO"/>
        </w:rPr>
        <w:t xml:space="preserve"> el Código de Buen Gobierno Corporativo. La Junta Directivo consideró necesario actualizar el Código, como muestra del compromiso de la EAAB-ESP, con los principios y prácticas del Gobierno Corporativo, a fin de propugnar que las actuaciones de la empresa y sus órganos se desarrollen en un marco institucional orientado hacia una gestión eficiente y transparente, alienada con su naturaleza jurídica y régimen legal aplicable.</w:t>
      </w:r>
    </w:p>
    <w:p w:rsidR="00F03D13" w:rsidRPr="005F3A65" w:rsidRDefault="005F3A65" w:rsidP="00022765">
      <w:pPr>
        <w:pStyle w:val="Prrafodelista"/>
        <w:numPr>
          <w:ilvl w:val="0"/>
          <w:numId w:val="1"/>
        </w:numPr>
        <w:ind w:left="426" w:hanging="426"/>
        <w:jc w:val="both"/>
        <w:rPr>
          <w:b/>
          <w:sz w:val="28"/>
          <w:szCs w:val="28"/>
        </w:rPr>
      </w:pPr>
      <w:r w:rsidRPr="005F3A65">
        <w:rPr>
          <w:b/>
          <w:sz w:val="28"/>
          <w:szCs w:val="28"/>
        </w:rPr>
        <w:t>GESTIÓN DE RIESGOS</w:t>
      </w:r>
    </w:p>
    <w:p w:rsidR="00600F9C" w:rsidRPr="00503F1E" w:rsidRDefault="00600F9C" w:rsidP="0072305B">
      <w:pPr>
        <w:spacing w:after="0"/>
        <w:jc w:val="both"/>
        <w:rPr>
          <w:rFonts w:ascii="Arial" w:hAnsi="Arial" w:cs="Arial"/>
          <w:sz w:val="24"/>
          <w:szCs w:val="24"/>
          <w:lang w:val="es-MX"/>
        </w:rPr>
      </w:pPr>
      <w:r w:rsidRPr="00503F1E">
        <w:rPr>
          <w:rFonts w:ascii="Arial" w:hAnsi="Arial" w:cs="Arial"/>
          <w:sz w:val="24"/>
          <w:szCs w:val="24"/>
          <w:lang w:val="es-MX"/>
        </w:rPr>
        <w:t>De acuerdo con el cronograma de actividades del Plan del Sistema de Control Interno, en el período noviembre a diciembre de 2019, se desarrollaron reuniones para la actualización de las matrices de riesgos de corrupción de los procesos, teniendo en consideración los resultados de la actualización del contexto e Informes de la Oficina de Control Interno y Gestión relacionados, habiendo culminado el ejercicio y efectuado la publicación -en la página Web- de la Matriz consolidada de riesgos de corrupción de la EAAB para consulta de los grupos de interés.</w:t>
      </w:r>
    </w:p>
    <w:p w:rsidR="00600F9C" w:rsidRPr="00503F1E" w:rsidRDefault="00600F9C" w:rsidP="00503F1E">
      <w:pPr>
        <w:spacing w:after="0" w:line="240" w:lineRule="auto"/>
        <w:jc w:val="both"/>
        <w:rPr>
          <w:rFonts w:ascii="Arial" w:hAnsi="Arial" w:cs="Arial"/>
          <w:sz w:val="24"/>
          <w:szCs w:val="24"/>
          <w:lang w:val="es-MX"/>
        </w:rPr>
      </w:pPr>
    </w:p>
    <w:p w:rsidR="00600F9C" w:rsidRPr="007D3A61" w:rsidRDefault="00600F9C" w:rsidP="007D3A61">
      <w:pPr>
        <w:spacing w:after="0"/>
        <w:jc w:val="both"/>
        <w:rPr>
          <w:rFonts w:ascii="Arial" w:hAnsi="Arial" w:cs="Arial"/>
          <w:sz w:val="24"/>
          <w:szCs w:val="24"/>
          <w:lang w:val="es-MX"/>
        </w:rPr>
      </w:pPr>
      <w:r w:rsidRPr="007D3A61">
        <w:rPr>
          <w:rFonts w:ascii="Arial" w:hAnsi="Arial" w:cs="Arial"/>
          <w:sz w:val="24"/>
          <w:szCs w:val="24"/>
          <w:lang w:val="es-MX"/>
        </w:rPr>
        <w:t xml:space="preserve">Así mismo, se continuó con las reuniones para finalizar la actualización de los perfiles de riesgos de los procesos misionales que se encontraban pendientes, logrando al cierre de año la actualización de las versiones definitivas de </w:t>
      </w:r>
      <w:r w:rsidR="0086368A" w:rsidRPr="007D3A61">
        <w:rPr>
          <w:rFonts w:ascii="Arial" w:hAnsi="Arial" w:cs="Arial"/>
          <w:sz w:val="24"/>
          <w:szCs w:val="24"/>
          <w:lang w:val="es-MX"/>
        </w:rPr>
        <w:t xml:space="preserve">perfiles </w:t>
      </w:r>
      <w:r w:rsidRPr="007D3A61">
        <w:rPr>
          <w:rFonts w:ascii="Arial" w:hAnsi="Arial" w:cs="Arial"/>
          <w:sz w:val="24"/>
          <w:szCs w:val="24"/>
          <w:lang w:val="es-MX"/>
        </w:rPr>
        <w:t>de riesgos.</w:t>
      </w:r>
    </w:p>
    <w:p w:rsidR="00600F9C" w:rsidRPr="007D3A61" w:rsidRDefault="00600F9C" w:rsidP="007D3A61">
      <w:pPr>
        <w:spacing w:after="0"/>
        <w:jc w:val="both"/>
        <w:rPr>
          <w:rFonts w:ascii="Arial" w:hAnsi="Arial" w:cs="Arial"/>
          <w:sz w:val="24"/>
          <w:szCs w:val="24"/>
          <w:lang w:val="es-MX"/>
        </w:rPr>
      </w:pPr>
    </w:p>
    <w:p w:rsidR="00600F9C" w:rsidRDefault="00600F9C" w:rsidP="007D3A61">
      <w:pPr>
        <w:spacing w:after="0"/>
        <w:jc w:val="both"/>
        <w:rPr>
          <w:rFonts w:ascii="Arial" w:hAnsi="Arial" w:cs="Arial"/>
          <w:sz w:val="24"/>
          <w:szCs w:val="24"/>
          <w:lang w:val="es-MX"/>
        </w:rPr>
      </w:pPr>
      <w:r w:rsidRPr="007D3A61">
        <w:rPr>
          <w:rFonts w:ascii="Arial" w:hAnsi="Arial" w:cs="Arial"/>
          <w:sz w:val="24"/>
          <w:szCs w:val="24"/>
          <w:lang w:val="es-MX"/>
        </w:rPr>
        <w:t>Con relación a las actividades de monitoreo de la segunda línea de defensa, posterior al Autocontrol del corte del tercer trimestre de 2019 realizado por los procesos, el equipo de auditores designado realizó el monitoreo al avance en la ejecución de los planes definidos para el tratamiento de los riesgos, generando el respectivo Informe con corte al 30 de septiembre de 2019 y retroalimentando a los líderes de proceso frente a los resultados encontrados.</w:t>
      </w:r>
    </w:p>
    <w:p w:rsidR="0086368A" w:rsidRPr="007D3A61" w:rsidRDefault="0086368A" w:rsidP="007D3A61">
      <w:pPr>
        <w:spacing w:after="0"/>
        <w:jc w:val="both"/>
        <w:rPr>
          <w:rFonts w:ascii="Arial" w:hAnsi="Arial" w:cs="Arial"/>
          <w:sz w:val="24"/>
          <w:szCs w:val="24"/>
          <w:lang w:val="es-MX"/>
        </w:rPr>
      </w:pPr>
    </w:p>
    <w:p w:rsidR="00600F9C" w:rsidRPr="0086368A" w:rsidRDefault="00600F9C" w:rsidP="0086368A">
      <w:pPr>
        <w:spacing w:after="0"/>
        <w:jc w:val="both"/>
        <w:rPr>
          <w:rFonts w:ascii="Arial" w:hAnsi="Arial" w:cs="Arial"/>
          <w:sz w:val="24"/>
          <w:szCs w:val="24"/>
          <w:lang w:val="es-MX"/>
        </w:rPr>
      </w:pPr>
      <w:r w:rsidRPr="0086368A">
        <w:rPr>
          <w:rFonts w:ascii="Arial" w:hAnsi="Arial" w:cs="Arial"/>
          <w:sz w:val="24"/>
          <w:szCs w:val="24"/>
          <w:lang w:val="es-MX"/>
        </w:rPr>
        <w:t>Para el cuarto trimestre, que corresponde al corte de diciembre de 2019, los procesos están desarrollando el reporte de Autocontrol dentro de los primeros días de enero de 2020, de tal forma que posterior a este reporte, se programen los seguimientos por parte de los auditores para verificar el avance en las actividades y seguimiento a los controle</w:t>
      </w:r>
      <w:r w:rsidR="0086368A">
        <w:rPr>
          <w:rFonts w:ascii="Arial" w:hAnsi="Arial" w:cs="Arial"/>
          <w:sz w:val="24"/>
          <w:szCs w:val="24"/>
          <w:lang w:val="es-MX"/>
        </w:rPr>
        <w:t>s de los riesgos de corrupción.</w:t>
      </w:r>
    </w:p>
    <w:p w:rsidR="00600F9C" w:rsidRPr="00503F1E" w:rsidRDefault="00600F9C" w:rsidP="00503F1E">
      <w:pPr>
        <w:spacing w:after="0" w:line="360" w:lineRule="auto"/>
        <w:jc w:val="both"/>
        <w:rPr>
          <w:rFonts w:ascii="Arial" w:hAnsi="Arial" w:cs="Arial"/>
          <w:lang w:val="es-MX"/>
        </w:rPr>
      </w:pPr>
    </w:p>
    <w:p w:rsidR="00600F9C" w:rsidRPr="0086368A" w:rsidRDefault="00600F9C" w:rsidP="0086368A">
      <w:pPr>
        <w:spacing w:after="0"/>
        <w:jc w:val="both"/>
        <w:rPr>
          <w:rFonts w:ascii="Arial" w:hAnsi="Arial" w:cs="Arial"/>
          <w:sz w:val="24"/>
          <w:szCs w:val="24"/>
          <w:lang w:val="es-MX"/>
        </w:rPr>
      </w:pPr>
      <w:r w:rsidRPr="0086368A">
        <w:rPr>
          <w:rFonts w:ascii="Arial" w:hAnsi="Arial" w:cs="Arial"/>
          <w:sz w:val="24"/>
          <w:szCs w:val="24"/>
          <w:lang w:val="es-MX"/>
        </w:rPr>
        <w:t>Por otra parte, en el Comité Corporativo No. 96 del 11 de diciembre de 2019, en el marco de la Revisión por la Dirección (2019-I semestre), se presentó el estado de avance del Plan del Sistema de Control Interno del corte de junio de 2019, en el que se tenía un cumplimiento del 91% en el corte y del 29% en el plan; encontrándose a la fecha de presentación al Comité pendiente por finalizar la actualización de dos perfiles de riesgos misionales, así mismo se presentó el estado de cumplimiento de los planes de tratamiento de riesgos y se hizo énfasis sobre los planes de tratamiento que presentaban dificultades en su cierre y que se encontraban vencidos, de tal manera que en el Comité se establecieron compromisos para culminar el ejercicio de actualización de los dos perfiles de riesgos y revisar las actividades vencidas. Así las cosas, al cierre de diciembre de 2019, con base en el reporte de autocontrol realizado para el Plan del SCI, se tiene un cumplimiento de las actividades del corte del 86% y un cumplimiento del plan del 94%.</w:t>
      </w:r>
    </w:p>
    <w:p w:rsidR="00231003" w:rsidRPr="00600F9C" w:rsidRDefault="00231003" w:rsidP="00231003">
      <w:pPr>
        <w:pStyle w:val="Prrafodelista"/>
        <w:spacing w:after="0" w:line="360" w:lineRule="auto"/>
        <w:jc w:val="both"/>
        <w:rPr>
          <w:rFonts w:ascii="Arial" w:hAnsi="Arial" w:cs="Arial"/>
          <w:lang w:val="es-MX"/>
        </w:rPr>
      </w:pPr>
    </w:p>
    <w:p w:rsidR="00231003" w:rsidRPr="0086368A" w:rsidRDefault="00231003" w:rsidP="0086368A">
      <w:pPr>
        <w:jc w:val="both"/>
        <w:rPr>
          <w:rFonts w:ascii="Arial" w:hAnsi="Arial" w:cs="Arial"/>
          <w:sz w:val="24"/>
          <w:szCs w:val="24"/>
          <w:lang w:val="es-ES"/>
        </w:rPr>
      </w:pPr>
      <w:r w:rsidRPr="0086368A">
        <w:rPr>
          <w:rFonts w:ascii="Arial" w:hAnsi="Arial" w:cs="Arial"/>
          <w:color w:val="000000"/>
          <w:sz w:val="24"/>
          <w:szCs w:val="24"/>
          <w:lang w:eastAsia="es-CO"/>
        </w:rPr>
        <w:t>La segunda evaluación</w:t>
      </w:r>
      <w:r w:rsidR="003D333D" w:rsidRPr="0086368A">
        <w:rPr>
          <w:rFonts w:ascii="Arial" w:hAnsi="Arial" w:cs="Arial"/>
          <w:color w:val="000000"/>
          <w:sz w:val="24"/>
          <w:szCs w:val="24"/>
          <w:lang w:eastAsia="es-CO"/>
        </w:rPr>
        <w:t xml:space="preserve"> adelantada por esta oficina</w:t>
      </w:r>
      <w:r w:rsidRPr="0086368A">
        <w:rPr>
          <w:rFonts w:ascii="Arial" w:hAnsi="Arial" w:cs="Arial"/>
          <w:color w:val="000000"/>
          <w:sz w:val="24"/>
          <w:szCs w:val="24"/>
          <w:lang w:eastAsia="es-CO"/>
        </w:rPr>
        <w:t>,</w:t>
      </w:r>
      <w:r w:rsidR="0086368A">
        <w:rPr>
          <w:rFonts w:ascii="Arial" w:hAnsi="Arial" w:cs="Arial"/>
          <w:color w:val="000000"/>
          <w:sz w:val="24"/>
          <w:szCs w:val="24"/>
          <w:lang w:eastAsia="es-CO"/>
        </w:rPr>
        <w:t xml:space="preserve"> </w:t>
      </w:r>
      <w:r w:rsidRPr="0086368A">
        <w:rPr>
          <w:rFonts w:ascii="Arial" w:hAnsi="Arial" w:cs="Arial"/>
          <w:color w:val="000000"/>
          <w:sz w:val="24"/>
          <w:szCs w:val="24"/>
          <w:lang w:eastAsia="es-CO"/>
        </w:rPr>
        <w:t xml:space="preserve">con corte a 30-08-19, se realizó a </w:t>
      </w:r>
      <w:r w:rsidRPr="0086368A">
        <w:rPr>
          <w:rFonts w:ascii="Arial" w:hAnsi="Arial" w:cs="Arial"/>
          <w:sz w:val="24"/>
          <w:szCs w:val="24"/>
          <w:lang w:val="es-ES"/>
        </w:rPr>
        <w:t>8 procesos actualizados (</w:t>
      </w:r>
      <w:r w:rsidRPr="0086368A">
        <w:rPr>
          <w:rFonts w:ascii="Arial" w:hAnsi="Arial" w:cs="Arial"/>
          <w:i/>
          <w:sz w:val="24"/>
          <w:szCs w:val="24"/>
          <w:lang w:val="es-ES"/>
        </w:rPr>
        <w:t xml:space="preserve">Gestión seguimiento monitoreo y control, </w:t>
      </w:r>
      <w:r w:rsidRPr="0086368A">
        <w:rPr>
          <w:rFonts w:ascii="Arial" w:hAnsi="Arial" w:cs="Arial"/>
          <w:bCs/>
          <w:i/>
          <w:color w:val="000000"/>
          <w:sz w:val="24"/>
          <w:szCs w:val="24"/>
          <w:lang w:eastAsia="es-CO"/>
        </w:rPr>
        <w:t>Gestión Comercial, Gestión Documental, Gestión de Calibración</w:t>
      </w:r>
      <w:r w:rsidR="0086368A">
        <w:rPr>
          <w:rFonts w:ascii="Arial" w:hAnsi="Arial" w:cs="Arial"/>
          <w:bCs/>
          <w:i/>
          <w:color w:val="000000"/>
          <w:sz w:val="24"/>
          <w:szCs w:val="24"/>
          <w:lang w:eastAsia="es-CO"/>
        </w:rPr>
        <w:t xml:space="preserve"> -</w:t>
      </w:r>
      <w:r w:rsidRPr="0086368A">
        <w:rPr>
          <w:rFonts w:ascii="Arial" w:hAnsi="Arial" w:cs="Arial"/>
          <w:bCs/>
          <w:i/>
          <w:color w:val="000000"/>
          <w:sz w:val="24"/>
          <w:szCs w:val="24"/>
          <w:lang w:eastAsia="es-CO"/>
        </w:rPr>
        <w:t xml:space="preserve"> </w:t>
      </w:r>
      <w:proofErr w:type="spellStart"/>
      <w:r w:rsidRPr="0086368A">
        <w:rPr>
          <w:rFonts w:ascii="Arial" w:hAnsi="Arial" w:cs="Arial"/>
          <w:bCs/>
          <w:i/>
          <w:color w:val="000000"/>
          <w:sz w:val="24"/>
          <w:szCs w:val="24"/>
          <w:lang w:eastAsia="es-CO"/>
        </w:rPr>
        <w:t>Hidrometrología</w:t>
      </w:r>
      <w:proofErr w:type="spellEnd"/>
      <w:r w:rsidRPr="0086368A">
        <w:rPr>
          <w:rFonts w:ascii="Arial" w:hAnsi="Arial" w:cs="Arial"/>
          <w:bCs/>
          <w:i/>
          <w:color w:val="000000"/>
          <w:sz w:val="24"/>
          <w:szCs w:val="24"/>
          <w:lang w:eastAsia="es-CO"/>
        </w:rPr>
        <w:t xml:space="preserve"> y Ensayo, Gestión de Servicios Administrativos, Gestión del Talento Humano, Gestión Contractual y Gestión Ambiental</w:t>
      </w:r>
      <w:r w:rsidRPr="0086368A">
        <w:rPr>
          <w:rFonts w:ascii="Arial" w:hAnsi="Arial" w:cs="Arial"/>
          <w:bCs/>
          <w:color w:val="000000"/>
          <w:sz w:val="24"/>
          <w:szCs w:val="24"/>
          <w:lang w:eastAsia="es-CO"/>
        </w:rPr>
        <w:t xml:space="preserve">); </w:t>
      </w:r>
      <w:r w:rsidRPr="0086368A">
        <w:rPr>
          <w:rFonts w:ascii="Arial" w:hAnsi="Arial" w:cs="Arial"/>
          <w:sz w:val="24"/>
          <w:szCs w:val="24"/>
          <w:lang w:val="es-ES"/>
        </w:rPr>
        <w:t>teniendo en cuenta que la actualización al mapa de riesgos que está efectuando</w:t>
      </w:r>
      <w:r w:rsidR="00CE438C">
        <w:rPr>
          <w:rFonts w:ascii="Arial" w:hAnsi="Arial" w:cs="Arial"/>
          <w:sz w:val="24"/>
          <w:szCs w:val="24"/>
          <w:lang w:val="es-ES"/>
        </w:rPr>
        <w:t>,</w:t>
      </w:r>
      <w:r w:rsidRPr="0086368A">
        <w:rPr>
          <w:rFonts w:ascii="Arial" w:hAnsi="Arial" w:cs="Arial"/>
          <w:sz w:val="24"/>
          <w:szCs w:val="24"/>
          <w:lang w:val="es-ES"/>
        </w:rPr>
        <w:t xml:space="preserve"> la entidad tiene pendiente por documentar </w:t>
      </w:r>
      <w:r w:rsidR="00CE438C">
        <w:rPr>
          <w:rFonts w:ascii="Arial" w:hAnsi="Arial" w:cs="Arial"/>
          <w:sz w:val="24"/>
          <w:szCs w:val="24"/>
          <w:lang w:val="es-ES"/>
        </w:rPr>
        <w:t>los</w:t>
      </w:r>
      <w:r w:rsidRPr="0086368A">
        <w:rPr>
          <w:rFonts w:ascii="Arial" w:hAnsi="Arial" w:cs="Arial"/>
          <w:sz w:val="24"/>
          <w:szCs w:val="24"/>
          <w:lang w:val="es-ES"/>
        </w:rPr>
        <w:t xml:space="preserve"> procesos, Gestión de </w:t>
      </w:r>
      <w:r w:rsidR="00CE438C" w:rsidRPr="0086368A">
        <w:rPr>
          <w:rFonts w:ascii="Arial" w:hAnsi="Arial" w:cs="Arial"/>
          <w:sz w:val="24"/>
          <w:szCs w:val="24"/>
          <w:lang w:val="es-ES"/>
        </w:rPr>
        <w:t xml:space="preserve">Mantenimiento </w:t>
      </w:r>
      <w:r w:rsidRPr="0086368A">
        <w:rPr>
          <w:rFonts w:ascii="Arial" w:hAnsi="Arial" w:cs="Arial"/>
          <w:sz w:val="24"/>
          <w:szCs w:val="24"/>
          <w:lang w:val="es-ES"/>
        </w:rPr>
        <w:t>y Gestión Acueducto y Alcantarillado, y adicionalmente el informe realizado por esta oficina con corte a marzo de la presente vigencia, en el cual se eval</w:t>
      </w:r>
      <w:r w:rsidR="00CE438C">
        <w:rPr>
          <w:rFonts w:ascii="Arial" w:hAnsi="Arial" w:cs="Arial"/>
          <w:sz w:val="24"/>
          <w:szCs w:val="24"/>
          <w:lang w:val="es-ES"/>
        </w:rPr>
        <w:t>uaron 10 procesos actualizados.</w:t>
      </w:r>
    </w:p>
    <w:p w:rsidR="00231003" w:rsidRDefault="00CE438C" w:rsidP="00231003">
      <w:pPr>
        <w:jc w:val="both"/>
        <w:rPr>
          <w:rFonts w:ascii="Arial" w:hAnsi="Arial" w:cs="Arial"/>
          <w:sz w:val="24"/>
          <w:szCs w:val="24"/>
          <w:lang w:val="es-ES"/>
        </w:rPr>
      </w:pPr>
      <w:r>
        <w:rPr>
          <w:rFonts w:ascii="Arial" w:hAnsi="Arial" w:cs="Arial"/>
          <w:sz w:val="24"/>
          <w:szCs w:val="24"/>
          <w:lang w:val="es-ES"/>
        </w:rPr>
        <w:t xml:space="preserve">La </w:t>
      </w:r>
      <w:r w:rsidR="00231003">
        <w:rPr>
          <w:rFonts w:ascii="Arial" w:hAnsi="Arial" w:cs="Arial"/>
          <w:sz w:val="24"/>
          <w:szCs w:val="24"/>
          <w:lang w:val="es-ES"/>
        </w:rPr>
        <w:t>evaluación para los 8 procesos indicados, los cuales identificaron 42 riesgos y 224 controles</w:t>
      </w:r>
      <w:r w:rsidR="00231003" w:rsidRPr="00D2152B">
        <w:rPr>
          <w:rFonts w:ascii="Arial" w:hAnsi="Arial" w:cs="Arial"/>
          <w:sz w:val="24"/>
          <w:szCs w:val="24"/>
          <w:lang w:val="es-ES"/>
        </w:rPr>
        <w:t>, que conforman los 21 procesos publicados en el Mapa de Procesos de la EAAB-ESP versión 5</w:t>
      </w:r>
      <w:r w:rsidR="00231003">
        <w:rPr>
          <w:rFonts w:ascii="Arial" w:hAnsi="Arial" w:cs="Arial"/>
          <w:sz w:val="24"/>
          <w:szCs w:val="24"/>
          <w:lang w:val="es-ES"/>
        </w:rPr>
        <w:t>, arrojó las siguientes conclusiones.</w:t>
      </w:r>
    </w:p>
    <w:p w:rsidR="00231003" w:rsidRPr="00141764" w:rsidRDefault="00CE438C" w:rsidP="00231003">
      <w:pPr>
        <w:pStyle w:val="Prrafodelista"/>
        <w:numPr>
          <w:ilvl w:val="0"/>
          <w:numId w:val="16"/>
        </w:numPr>
        <w:spacing w:after="0" w:line="276" w:lineRule="auto"/>
        <w:contextualSpacing w:val="0"/>
        <w:jc w:val="both"/>
        <w:rPr>
          <w:rFonts w:ascii="Arial" w:hAnsi="Arial" w:cs="Arial"/>
          <w:b/>
          <w:sz w:val="24"/>
          <w:szCs w:val="24"/>
        </w:rPr>
      </w:pPr>
      <w:r>
        <w:rPr>
          <w:rFonts w:ascii="Arial" w:hAnsi="Arial" w:cs="Arial"/>
          <w:sz w:val="24"/>
          <w:szCs w:val="24"/>
        </w:rPr>
        <w:t>S</w:t>
      </w:r>
      <w:r w:rsidR="00231003" w:rsidRPr="00141764">
        <w:rPr>
          <w:rFonts w:ascii="Arial" w:hAnsi="Arial" w:cs="Arial"/>
          <w:sz w:val="24"/>
          <w:szCs w:val="24"/>
        </w:rPr>
        <w:t xml:space="preserve">e registró, </w:t>
      </w:r>
      <w:r w:rsidR="00231003">
        <w:rPr>
          <w:rFonts w:ascii="Arial" w:hAnsi="Arial" w:cs="Arial"/>
          <w:sz w:val="24"/>
          <w:szCs w:val="24"/>
        </w:rPr>
        <w:t>en su mayoría</w:t>
      </w:r>
      <w:r w:rsidR="00231003" w:rsidRPr="00141764">
        <w:rPr>
          <w:rFonts w:ascii="Arial" w:hAnsi="Arial" w:cs="Arial"/>
          <w:sz w:val="24"/>
          <w:szCs w:val="24"/>
        </w:rPr>
        <w:t xml:space="preserve">, el compromiso que tienen las áreas evaluadas, primera línea de defensa, con la gestión del riesgo en la </w:t>
      </w:r>
      <w:r w:rsidRPr="00141764">
        <w:rPr>
          <w:rFonts w:ascii="Arial" w:hAnsi="Arial" w:cs="Arial"/>
          <w:sz w:val="24"/>
          <w:szCs w:val="24"/>
        </w:rPr>
        <w:t>Empresa</w:t>
      </w:r>
      <w:r w:rsidR="00231003" w:rsidRPr="00141764">
        <w:rPr>
          <w:rFonts w:ascii="Arial" w:hAnsi="Arial" w:cs="Arial"/>
          <w:sz w:val="24"/>
          <w:szCs w:val="24"/>
        </w:rPr>
        <w:t xml:space="preserve"> en cada una de las fases definidas identificación, valoración, seguimiento y monitoreo de sus matrices de riesgos.</w:t>
      </w:r>
    </w:p>
    <w:p w:rsidR="00231003" w:rsidRPr="00141764" w:rsidRDefault="00231003" w:rsidP="00231003">
      <w:pPr>
        <w:pStyle w:val="Prrafodelista"/>
        <w:numPr>
          <w:ilvl w:val="0"/>
          <w:numId w:val="16"/>
        </w:numPr>
        <w:spacing w:after="0" w:line="276" w:lineRule="auto"/>
        <w:contextualSpacing w:val="0"/>
        <w:jc w:val="both"/>
        <w:rPr>
          <w:rFonts w:ascii="Arial" w:hAnsi="Arial" w:cs="Arial"/>
          <w:b/>
          <w:sz w:val="24"/>
          <w:szCs w:val="24"/>
        </w:rPr>
      </w:pPr>
      <w:r w:rsidRPr="00141764">
        <w:rPr>
          <w:rFonts w:ascii="Arial" w:hAnsi="Arial" w:cs="Arial"/>
          <w:sz w:val="24"/>
          <w:szCs w:val="24"/>
        </w:rPr>
        <w:t>El resultado de la evaluación del diseño y efectividad de los 224 controles asociados a los 42 riesgos de los 8 procesos analizados se obtuvo lo siguiente: 44 (20%) es débil, 22 (10%) moderados y 158 (70%) son fuertes.</w:t>
      </w:r>
    </w:p>
    <w:p w:rsidR="00231003" w:rsidRPr="00141764" w:rsidRDefault="00231003" w:rsidP="00231003">
      <w:pPr>
        <w:pStyle w:val="Prrafodelista"/>
        <w:numPr>
          <w:ilvl w:val="0"/>
          <w:numId w:val="16"/>
        </w:numPr>
        <w:spacing w:after="0" w:line="276" w:lineRule="auto"/>
        <w:contextualSpacing w:val="0"/>
        <w:jc w:val="both"/>
        <w:rPr>
          <w:rFonts w:ascii="Arial" w:hAnsi="Arial" w:cs="Arial"/>
          <w:b/>
          <w:sz w:val="24"/>
          <w:szCs w:val="24"/>
        </w:rPr>
      </w:pPr>
      <w:r w:rsidRPr="00141764">
        <w:rPr>
          <w:rFonts w:ascii="Arial" w:hAnsi="Arial" w:cs="Arial"/>
          <w:sz w:val="24"/>
          <w:szCs w:val="24"/>
        </w:rPr>
        <w:t xml:space="preserve">Los controles evaluados como débiles afectan la calificación del riesgo residual y en consecuencia deben ser priorizados en su revisión, con el fin de asegurar una adecuada gestión del riesgo en la </w:t>
      </w:r>
      <w:r w:rsidR="00CE438C" w:rsidRPr="00141764">
        <w:rPr>
          <w:rFonts w:ascii="Arial" w:hAnsi="Arial" w:cs="Arial"/>
          <w:sz w:val="24"/>
          <w:szCs w:val="24"/>
        </w:rPr>
        <w:t>Empresa</w:t>
      </w:r>
      <w:r w:rsidRPr="00141764">
        <w:rPr>
          <w:rFonts w:ascii="Arial" w:hAnsi="Arial" w:cs="Arial"/>
          <w:sz w:val="24"/>
          <w:szCs w:val="24"/>
        </w:rPr>
        <w:t>.</w:t>
      </w:r>
    </w:p>
    <w:p w:rsidR="00231003" w:rsidRPr="00141764" w:rsidRDefault="00231003" w:rsidP="00231003">
      <w:pPr>
        <w:pStyle w:val="Prrafodelista"/>
        <w:numPr>
          <w:ilvl w:val="0"/>
          <w:numId w:val="16"/>
        </w:numPr>
        <w:spacing w:after="0" w:line="276" w:lineRule="auto"/>
        <w:contextualSpacing w:val="0"/>
        <w:jc w:val="both"/>
        <w:rPr>
          <w:rFonts w:ascii="Arial" w:hAnsi="Arial" w:cs="Arial"/>
          <w:b/>
          <w:sz w:val="24"/>
          <w:szCs w:val="24"/>
        </w:rPr>
      </w:pPr>
      <w:r w:rsidRPr="00141764">
        <w:rPr>
          <w:rFonts w:ascii="Arial" w:hAnsi="Arial" w:cs="Arial"/>
          <w:sz w:val="24"/>
          <w:szCs w:val="24"/>
        </w:rPr>
        <w:t xml:space="preserve">Se registraron debilidades en la identificación de algunos riesgos, los cuales se ajustan más a causas, se recomienda revisar y adelantar nuevamente el ejercicio de identificación de riesgos en </w:t>
      </w:r>
      <w:r w:rsidR="00CE438C">
        <w:rPr>
          <w:rFonts w:ascii="Arial" w:hAnsi="Arial" w:cs="Arial"/>
          <w:sz w:val="24"/>
          <w:szCs w:val="24"/>
        </w:rPr>
        <w:t>estos</w:t>
      </w:r>
      <w:r w:rsidRPr="00141764">
        <w:rPr>
          <w:rFonts w:ascii="Arial" w:hAnsi="Arial" w:cs="Arial"/>
          <w:sz w:val="24"/>
          <w:szCs w:val="24"/>
        </w:rPr>
        <w:t xml:space="preserve"> casos puntuales.</w:t>
      </w:r>
    </w:p>
    <w:p w:rsidR="00231003" w:rsidRDefault="00231003" w:rsidP="00231003">
      <w:pPr>
        <w:spacing w:line="276" w:lineRule="auto"/>
        <w:jc w:val="both"/>
        <w:rPr>
          <w:rFonts w:ascii="Arial" w:hAnsi="Arial" w:cs="Arial"/>
          <w:sz w:val="24"/>
          <w:szCs w:val="24"/>
        </w:rPr>
      </w:pPr>
    </w:p>
    <w:p w:rsidR="00F03D13" w:rsidRPr="00CE438C" w:rsidRDefault="00CE438C" w:rsidP="00022765">
      <w:pPr>
        <w:pStyle w:val="Prrafodelista"/>
        <w:numPr>
          <w:ilvl w:val="0"/>
          <w:numId w:val="1"/>
        </w:numPr>
        <w:ind w:left="426" w:hanging="426"/>
        <w:jc w:val="both"/>
        <w:rPr>
          <w:rFonts w:ascii="Calibri" w:hAnsi="Calibri" w:cs="Calibri"/>
          <w:b/>
          <w:sz w:val="28"/>
          <w:szCs w:val="28"/>
        </w:rPr>
      </w:pPr>
      <w:r w:rsidRPr="00CE438C">
        <w:rPr>
          <w:rFonts w:ascii="Calibri" w:hAnsi="Calibri" w:cs="Calibri"/>
          <w:b/>
          <w:sz w:val="28"/>
          <w:szCs w:val="28"/>
        </w:rPr>
        <w:t>ACTIVIDADES DE CONTROL</w:t>
      </w:r>
    </w:p>
    <w:p w:rsidR="00CE438C" w:rsidRDefault="00600F9C" w:rsidP="00CE438C">
      <w:pPr>
        <w:jc w:val="both"/>
        <w:rPr>
          <w:rFonts w:ascii="Arial" w:hAnsi="Arial" w:cs="Arial"/>
          <w:sz w:val="24"/>
          <w:szCs w:val="24"/>
          <w:lang w:val="es-ES"/>
        </w:rPr>
      </w:pPr>
      <w:r w:rsidRPr="00CE438C">
        <w:rPr>
          <w:rFonts w:ascii="Arial" w:hAnsi="Arial" w:cs="Arial"/>
          <w:sz w:val="24"/>
          <w:szCs w:val="24"/>
          <w:lang w:val="es-ES"/>
        </w:rPr>
        <w:t>Se realizó seguimiento al plan de trabajo para la actualización de documentos, con el fin que éstos reflejen la realidad de los procesos y estén acordes con la normatividad vigente. En el periodo Noviembre – Diciembre se actualizaron (Modificación, Creación y/o paso a obsoleto) 279 documentos de 13 procesos, los cuales fueron debidamente cargados en el aplicativo; no obstante, dando cumplimiento a la NTC-ISO 9001:2015 fueron actualizados los siguientes procedimientos:</w:t>
      </w:r>
    </w:p>
    <w:p w:rsidR="00CE438C" w:rsidRDefault="00CE438C">
      <w:pPr>
        <w:rPr>
          <w:rFonts w:ascii="Arial" w:hAnsi="Arial" w:cs="Arial"/>
          <w:sz w:val="24"/>
          <w:szCs w:val="24"/>
          <w:lang w:val="es-ES"/>
        </w:rPr>
      </w:pPr>
      <w:r>
        <w:rPr>
          <w:rFonts w:ascii="Arial" w:hAnsi="Arial" w:cs="Arial"/>
          <w:sz w:val="24"/>
          <w:szCs w:val="24"/>
          <w:lang w:val="es-ES"/>
        </w:rPr>
        <w:br w:type="page"/>
      </w:r>
    </w:p>
    <w:p w:rsidR="00600F9C" w:rsidRDefault="00600F9C" w:rsidP="00A44284">
      <w:pPr>
        <w:pStyle w:val="Prrafodelista"/>
        <w:numPr>
          <w:ilvl w:val="0"/>
          <w:numId w:val="12"/>
        </w:numPr>
        <w:spacing w:after="0" w:line="360" w:lineRule="auto"/>
        <w:ind w:left="426" w:hanging="426"/>
        <w:jc w:val="both"/>
        <w:rPr>
          <w:rFonts w:ascii="Arial" w:hAnsi="Arial" w:cs="Arial"/>
        </w:rPr>
      </w:pPr>
      <w:r>
        <w:rPr>
          <w:rFonts w:ascii="Arial" w:hAnsi="Arial" w:cs="Arial"/>
        </w:rPr>
        <w:t>Mecanismos de medición de la satisfacción de los grupos de interés</w:t>
      </w:r>
      <w:r w:rsidR="00CE438C">
        <w:rPr>
          <w:rFonts w:ascii="Arial" w:hAnsi="Arial" w:cs="Arial"/>
        </w:rPr>
        <w:t>.</w:t>
      </w:r>
    </w:p>
    <w:p w:rsidR="00600F9C" w:rsidRDefault="00600F9C" w:rsidP="00A44284">
      <w:pPr>
        <w:pStyle w:val="Prrafodelista"/>
        <w:spacing w:after="0" w:line="360" w:lineRule="auto"/>
        <w:ind w:left="426"/>
        <w:jc w:val="both"/>
        <w:rPr>
          <w:rFonts w:ascii="Arial" w:hAnsi="Arial" w:cs="Arial"/>
        </w:rPr>
      </w:pPr>
      <w:r>
        <w:rPr>
          <w:rFonts w:ascii="Arial" w:hAnsi="Arial" w:cs="Arial"/>
        </w:rPr>
        <w:t>Los motivos para actualizar el procedimiento fueron:</w:t>
      </w:r>
    </w:p>
    <w:p w:rsidR="00600F9C" w:rsidRDefault="00600F9C" w:rsidP="001C0F52">
      <w:pPr>
        <w:pStyle w:val="Prrafodelista"/>
        <w:numPr>
          <w:ilvl w:val="0"/>
          <w:numId w:val="13"/>
        </w:numPr>
        <w:spacing w:after="120" w:line="240" w:lineRule="auto"/>
        <w:ind w:left="709" w:hanging="357"/>
        <w:contextualSpacing w:val="0"/>
        <w:jc w:val="both"/>
        <w:rPr>
          <w:rFonts w:ascii="Arial" w:hAnsi="Arial" w:cs="Arial"/>
        </w:rPr>
      </w:pPr>
      <w:r>
        <w:rPr>
          <w:rFonts w:ascii="Arial" w:hAnsi="Arial" w:cs="Arial"/>
        </w:rPr>
        <w:t>Compromiso establecido en el plan de mejoramiento del proceso Seguimiento y Control.</w:t>
      </w:r>
    </w:p>
    <w:p w:rsidR="00600F9C" w:rsidRDefault="00600F9C" w:rsidP="001C0F52">
      <w:pPr>
        <w:pStyle w:val="Prrafodelista"/>
        <w:numPr>
          <w:ilvl w:val="0"/>
          <w:numId w:val="13"/>
        </w:numPr>
        <w:spacing w:after="120" w:line="240" w:lineRule="auto"/>
        <w:ind w:left="709" w:hanging="357"/>
        <w:contextualSpacing w:val="0"/>
        <w:jc w:val="both"/>
        <w:rPr>
          <w:rFonts w:ascii="Arial" w:hAnsi="Arial" w:cs="Arial"/>
        </w:rPr>
      </w:pPr>
      <w:r>
        <w:rPr>
          <w:rFonts w:ascii="Arial" w:hAnsi="Arial" w:cs="Arial"/>
        </w:rPr>
        <w:t>Se articuló el procedimiento con la caracterización de grupos de interés y los lineamientos del Modelo Integrado de Planeación y Gestión MIPG.</w:t>
      </w:r>
    </w:p>
    <w:p w:rsidR="00600F9C" w:rsidRDefault="00600F9C" w:rsidP="001C0F52">
      <w:pPr>
        <w:pStyle w:val="Prrafodelista"/>
        <w:numPr>
          <w:ilvl w:val="0"/>
          <w:numId w:val="13"/>
        </w:numPr>
        <w:spacing w:after="120" w:line="240" w:lineRule="auto"/>
        <w:ind w:left="709" w:hanging="357"/>
        <w:contextualSpacing w:val="0"/>
        <w:jc w:val="both"/>
        <w:rPr>
          <w:rFonts w:ascii="Arial" w:hAnsi="Arial" w:cs="Arial"/>
        </w:rPr>
      </w:pPr>
      <w:r>
        <w:rPr>
          <w:rFonts w:ascii="Arial" w:hAnsi="Arial" w:cs="Arial"/>
        </w:rPr>
        <w:t>Se articularon los mecanismos de medición de los grupos de interés con lo establecido en el componente de Rendición de Cuentas del PAAC.</w:t>
      </w:r>
    </w:p>
    <w:p w:rsidR="00600F9C" w:rsidRDefault="00600F9C" w:rsidP="001C0F52">
      <w:pPr>
        <w:pStyle w:val="Prrafodelista"/>
        <w:numPr>
          <w:ilvl w:val="0"/>
          <w:numId w:val="12"/>
        </w:numPr>
        <w:spacing w:after="0" w:line="360" w:lineRule="auto"/>
        <w:ind w:left="426" w:hanging="426"/>
        <w:jc w:val="both"/>
        <w:rPr>
          <w:rFonts w:ascii="Arial" w:hAnsi="Arial" w:cs="Arial"/>
        </w:rPr>
      </w:pPr>
      <w:r>
        <w:rPr>
          <w:rFonts w:ascii="Arial" w:hAnsi="Arial" w:cs="Arial"/>
        </w:rPr>
        <w:t>Identificación de Requisitos Legales y otros Requisitos.</w:t>
      </w:r>
    </w:p>
    <w:p w:rsidR="00600F9C" w:rsidRDefault="00600F9C" w:rsidP="001C0F52">
      <w:pPr>
        <w:pStyle w:val="Prrafodelista"/>
        <w:spacing w:after="0" w:line="360" w:lineRule="auto"/>
        <w:ind w:left="426"/>
        <w:jc w:val="both"/>
        <w:rPr>
          <w:rFonts w:ascii="Arial" w:hAnsi="Arial" w:cs="Arial"/>
        </w:rPr>
      </w:pPr>
      <w:r>
        <w:rPr>
          <w:rFonts w:ascii="Arial" w:hAnsi="Arial" w:cs="Arial"/>
        </w:rPr>
        <w:t>Los motivos para actualizar el procedimiento fueron:</w:t>
      </w:r>
    </w:p>
    <w:p w:rsidR="00600F9C" w:rsidRDefault="00600F9C" w:rsidP="001C0F52">
      <w:pPr>
        <w:pStyle w:val="Prrafodelista"/>
        <w:numPr>
          <w:ilvl w:val="0"/>
          <w:numId w:val="13"/>
        </w:numPr>
        <w:spacing w:after="120" w:line="240" w:lineRule="auto"/>
        <w:ind w:left="709" w:hanging="357"/>
        <w:contextualSpacing w:val="0"/>
        <w:jc w:val="both"/>
        <w:rPr>
          <w:rFonts w:ascii="Arial" w:hAnsi="Arial" w:cs="Arial"/>
        </w:rPr>
      </w:pPr>
      <w:r>
        <w:rPr>
          <w:rFonts w:ascii="Arial" w:hAnsi="Arial" w:cs="Arial"/>
        </w:rPr>
        <w:t>Dar un mayor alcance al procedimiento teniendo en cuenta que el alcance solo era el normograma.</w:t>
      </w:r>
    </w:p>
    <w:p w:rsidR="00600F9C" w:rsidRDefault="00600F9C" w:rsidP="001C0F52">
      <w:pPr>
        <w:pStyle w:val="Prrafodelista"/>
        <w:numPr>
          <w:ilvl w:val="0"/>
          <w:numId w:val="13"/>
        </w:numPr>
        <w:spacing w:after="120" w:line="240" w:lineRule="auto"/>
        <w:ind w:left="709" w:hanging="357"/>
        <w:contextualSpacing w:val="0"/>
        <w:jc w:val="both"/>
        <w:rPr>
          <w:rFonts w:ascii="Arial" w:hAnsi="Arial" w:cs="Arial"/>
        </w:rPr>
      </w:pPr>
      <w:r>
        <w:rPr>
          <w:rFonts w:ascii="Arial" w:hAnsi="Arial" w:cs="Arial"/>
        </w:rPr>
        <w:t>Actualizar las actividades.</w:t>
      </w:r>
    </w:p>
    <w:p w:rsidR="00600F9C" w:rsidRDefault="00600F9C" w:rsidP="001C0F52">
      <w:pPr>
        <w:pStyle w:val="Prrafodelista"/>
        <w:numPr>
          <w:ilvl w:val="0"/>
          <w:numId w:val="13"/>
        </w:numPr>
        <w:spacing w:after="120" w:line="240" w:lineRule="auto"/>
        <w:ind w:left="709" w:hanging="357"/>
        <w:contextualSpacing w:val="0"/>
        <w:jc w:val="both"/>
        <w:rPr>
          <w:rFonts w:ascii="Arial" w:hAnsi="Arial" w:cs="Arial"/>
        </w:rPr>
      </w:pPr>
      <w:r>
        <w:rPr>
          <w:rFonts w:ascii="Arial" w:hAnsi="Arial" w:cs="Arial"/>
        </w:rPr>
        <w:t>Reubicar el procedimiento en el proceso de Gestión Jurídica para dar respuesta a la recomendación del ICONTEC</w:t>
      </w:r>
      <w:r w:rsidR="001C0F52">
        <w:rPr>
          <w:rFonts w:ascii="Arial" w:hAnsi="Arial" w:cs="Arial"/>
        </w:rPr>
        <w:t>.</w:t>
      </w:r>
    </w:p>
    <w:p w:rsidR="00600F9C" w:rsidRDefault="00600F9C" w:rsidP="00600F9C">
      <w:pPr>
        <w:spacing w:after="0" w:line="360" w:lineRule="auto"/>
        <w:jc w:val="both"/>
        <w:rPr>
          <w:rFonts w:ascii="Arial" w:hAnsi="Arial" w:cs="Arial"/>
        </w:rPr>
      </w:pPr>
    </w:p>
    <w:p w:rsidR="00600F9C" w:rsidRDefault="003D333D" w:rsidP="00600F9C">
      <w:pPr>
        <w:spacing w:after="0" w:line="360" w:lineRule="auto"/>
        <w:rPr>
          <w:rFonts w:ascii="Arial" w:hAnsi="Arial" w:cs="Arial"/>
          <w:b/>
        </w:rPr>
      </w:pPr>
      <w:r>
        <w:rPr>
          <w:rFonts w:ascii="Arial" w:hAnsi="Arial" w:cs="Arial"/>
          <w:b/>
        </w:rPr>
        <w:t>-Fortalecimiento de los Controles</w:t>
      </w:r>
    </w:p>
    <w:p w:rsidR="00600F9C" w:rsidRPr="00CE438C" w:rsidRDefault="00600F9C" w:rsidP="00CE438C">
      <w:pPr>
        <w:jc w:val="both"/>
        <w:rPr>
          <w:rFonts w:ascii="Arial" w:hAnsi="Arial" w:cs="Arial"/>
          <w:sz w:val="24"/>
          <w:szCs w:val="24"/>
          <w:lang w:val="es-ES"/>
        </w:rPr>
      </w:pPr>
      <w:r w:rsidRPr="00CE438C">
        <w:rPr>
          <w:rFonts w:ascii="Arial" w:hAnsi="Arial" w:cs="Arial"/>
          <w:sz w:val="24"/>
          <w:szCs w:val="24"/>
          <w:lang w:val="es-ES"/>
        </w:rPr>
        <w:t xml:space="preserve">De acuerdo con el </w:t>
      </w:r>
      <w:r w:rsidR="00CD536E" w:rsidRPr="00CE438C">
        <w:rPr>
          <w:rFonts w:ascii="Arial" w:hAnsi="Arial" w:cs="Arial"/>
          <w:sz w:val="24"/>
          <w:szCs w:val="24"/>
          <w:lang w:val="es-ES"/>
        </w:rPr>
        <w:t xml:space="preserve">Plan </w:t>
      </w:r>
      <w:r w:rsidRPr="00CE438C">
        <w:rPr>
          <w:rFonts w:ascii="Arial" w:hAnsi="Arial" w:cs="Arial"/>
          <w:sz w:val="24"/>
          <w:szCs w:val="24"/>
          <w:lang w:val="es-ES"/>
        </w:rPr>
        <w:t xml:space="preserve">de </w:t>
      </w:r>
      <w:r w:rsidR="00CD536E" w:rsidRPr="00CE438C">
        <w:rPr>
          <w:rFonts w:ascii="Arial" w:hAnsi="Arial" w:cs="Arial"/>
          <w:sz w:val="24"/>
          <w:szCs w:val="24"/>
          <w:lang w:val="es-ES"/>
        </w:rPr>
        <w:t xml:space="preserve">Acción </w:t>
      </w:r>
      <w:r w:rsidRPr="00CE438C">
        <w:rPr>
          <w:rFonts w:ascii="Arial" w:hAnsi="Arial" w:cs="Arial"/>
          <w:sz w:val="24"/>
          <w:szCs w:val="24"/>
          <w:lang w:val="es-ES"/>
        </w:rPr>
        <w:t xml:space="preserve">del Sistema de Gestión de Calidad, se efectuaron las auditorías internas; para el cierre del año se cuenta con un saldo de 143 hallazgos abiertos y vencidos (74.5%) que los procesos deben continuar con su </w:t>
      </w:r>
      <w:r w:rsidR="00CD536E">
        <w:rPr>
          <w:rFonts w:ascii="Arial" w:hAnsi="Arial" w:cs="Arial"/>
          <w:sz w:val="24"/>
          <w:szCs w:val="24"/>
          <w:lang w:val="es-ES"/>
        </w:rPr>
        <w:t>gestión</w:t>
      </w:r>
      <w:r w:rsidRPr="00CE438C">
        <w:rPr>
          <w:rFonts w:ascii="Arial" w:hAnsi="Arial" w:cs="Arial"/>
          <w:sz w:val="24"/>
          <w:szCs w:val="24"/>
          <w:lang w:val="es-ES"/>
        </w:rPr>
        <w:t>.</w:t>
      </w:r>
    </w:p>
    <w:p w:rsidR="00600F9C" w:rsidRPr="00CE438C" w:rsidRDefault="00600F9C" w:rsidP="00CE438C">
      <w:pPr>
        <w:jc w:val="both"/>
        <w:rPr>
          <w:rFonts w:ascii="Arial" w:hAnsi="Arial" w:cs="Arial"/>
          <w:sz w:val="24"/>
          <w:szCs w:val="24"/>
          <w:lang w:val="es-ES"/>
        </w:rPr>
      </w:pPr>
      <w:r w:rsidRPr="00CE438C">
        <w:rPr>
          <w:rFonts w:ascii="Arial" w:hAnsi="Arial" w:cs="Arial"/>
          <w:sz w:val="24"/>
          <w:szCs w:val="24"/>
          <w:lang w:val="es-ES"/>
        </w:rPr>
        <w:t>Adicionalmente, se llevó a cabo el seguimiento a los planes de acción de los sistemas de gestión con el siguiente resultado:</w:t>
      </w:r>
    </w:p>
    <w:p w:rsidR="00600F9C" w:rsidRPr="00CD536E" w:rsidRDefault="00CD536E" w:rsidP="00CD536E">
      <w:pPr>
        <w:jc w:val="both"/>
        <w:rPr>
          <w:rFonts w:ascii="Arial" w:hAnsi="Arial" w:cs="Arial"/>
          <w:sz w:val="24"/>
          <w:szCs w:val="24"/>
          <w:lang w:val="es-ES"/>
        </w:rPr>
      </w:pPr>
      <w:r w:rsidRPr="00CD536E">
        <w:rPr>
          <w:rFonts w:ascii="Arial" w:hAnsi="Arial" w:cs="Arial"/>
          <w:sz w:val="24"/>
          <w:szCs w:val="24"/>
          <w:lang w:val="es-ES"/>
        </w:rPr>
        <w:t xml:space="preserve">En </w:t>
      </w:r>
      <w:r w:rsidR="00600F9C" w:rsidRPr="00CD536E">
        <w:rPr>
          <w:rFonts w:ascii="Arial" w:hAnsi="Arial" w:cs="Arial"/>
          <w:sz w:val="24"/>
          <w:szCs w:val="24"/>
          <w:lang w:val="es-ES"/>
        </w:rPr>
        <w:t>la Figura Nro. 1</w:t>
      </w:r>
      <w:r>
        <w:rPr>
          <w:rFonts w:ascii="Arial" w:hAnsi="Arial" w:cs="Arial"/>
          <w:sz w:val="24"/>
          <w:szCs w:val="24"/>
          <w:lang w:val="es-ES"/>
        </w:rPr>
        <w:t>,</w:t>
      </w:r>
      <w:r w:rsidR="00600F9C" w:rsidRPr="00CD536E">
        <w:rPr>
          <w:rFonts w:ascii="Arial" w:hAnsi="Arial" w:cs="Arial"/>
          <w:sz w:val="24"/>
          <w:szCs w:val="24"/>
          <w:lang w:val="es-ES"/>
        </w:rPr>
        <w:t xml:space="preserve"> </w:t>
      </w:r>
      <w:r w:rsidRPr="00CD536E">
        <w:rPr>
          <w:rFonts w:ascii="Arial" w:hAnsi="Arial" w:cs="Arial"/>
          <w:sz w:val="24"/>
          <w:szCs w:val="24"/>
          <w:lang w:val="es-ES"/>
        </w:rPr>
        <w:t xml:space="preserve">se presenta </w:t>
      </w:r>
      <w:r w:rsidR="00600F9C" w:rsidRPr="00CD536E">
        <w:rPr>
          <w:rFonts w:ascii="Arial" w:hAnsi="Arial" w:cs="Arial"/>
          <w:sz w:val="24"/>
          <w:szCs w:val="24"/>
          <w:lang w:val="es-ES"/>
        </w:rPr>
        <w:t xml:space="preserve">el porcentaje de cumplimiento al 30 de septiembre de 2019 de las actividades definidas en el </w:t>
      </w:r>
      <w:r w:rsidRPr="00CD536E">
        <w:rPr>
          <w:rFonts w:ascii="Arial" w:hAnsi="Arial" w:cs="Arial"/>
          <w:sz w:val="24"/>
          <w:szCs w:val="24"/>
          <w:lang w:val="es-ES"/>
        </w:rPr>
        <w:t xml:space="preserve">Plan </w:t>
      </w:r>
      <w:r w:rsidR="00600F9C" w:rsidRPr="00CD536E">
        <w:rPr>
          <w:rFonts w:ascii="Arial" w:hAnsi="Arial" w:cs="Arial"/>
          <w:sz w:val="24"/>
          <w:szCs w:val="24"/>
          <w:lang w:val="es-ES"/>
        </w:rPr>
        <w:t xml:space="preserve">del Sistema Integrado de Gestión - SIG, aclarando que para este corte en el </w:t>
      </w:r>
      <w:r w:rsidRPr="00CD536E">
        <w:rPr>
          <w:rFonts w:ascii="Arial" w:hAnsi="Arial" w:cs="Arial"/>
          <w:sz w:val="24"/>
          <w:szCs w:val="24"/>
          <w:lang w:val="es-ES"/>
        </w:rPr>
        <w:t xml:space="preserve">Plan </w:t>
      </w:r>
      <w:r w:rsidR="00600F9C" w:rsidRPr="00CD536E">
        <w:rPr>
          <w:rFonts w:ascii="Arial" w:hAnsi="Arial" w:cs="Arial"/>
          <w:sz w:val="24"/>
          <w:szCs w:val="24"/>
          <w:lang w:val="es-ES"/>
        </w:rPr>
        <w:t xml:space="preserve">del Sistema Interno de Gestión Documental y Archivo, Sistema de Gestión Ambiental y Sistema de Responsabilidad Social no </w:t>
      </w:r>
      <w:r>
        <w:rPr>
          <w:rFonts w:ascii="Arial" w:hAnsi="Arial" w:cs="Arial"/>
          <w:sz w:val="24"/>
          <w:szCs w:val="24"/>
          <w:lang w:val="es-ES"/>
        </w:rPr>
        <w:t xml:space="preserve">se </w:t>
      </w:r>
      <w:r w:rsidR="00600F9C" w:rsidRPr="00CD536E">
        <w:rPr>
          <w:rFonts w:ascii="Arial" w:hAnsi="Arial" w:cs="Arial"/>
          <w:sz w:val="24"/>
          <w:szCs w:val="24"/>
          <w:lang w:val="es-ES"/>
        </w:rPr>
        <w:t>cuenta con actividades para cumplir en este período tal como se detalla en la Tabla Nro. 1.</w:t>
      </w:r>
    </w:p>
    <w:p w:rsidR="00600F9C" w:rsidRPr="00CD536E" w:rsidRDefault="00600F9C" w:rsidP="00CD536E">
      <w:pPr>
        <w:jc w:val="both"/>
        <w:rPr>
          <w:rFonts w:ascii="Arial" w:hAnsi="Arial" w:cs="Arial"/>
          <w:sz w:val="24"/>
          <w:szCs w:val="24"/>
          <w:lang w:val="es-ES"/>
        </w:rPr>
      </w:pPr>
      <w:r w:rsidRPr="00CD536E">
        <w:rPr>
          <w:rFonts w:ascii="Arial" w:hAnsi="Arial" w:cs="Arial"/>
          <w:sz w:val="24"/>
          <w:szCs w:val="24"/>
          <w:lang w:val="es-ES"/>
        </w:rPr>
        <w:t>Así mismo, se destaca que el Sistema de Gestión de Calidad (68%) fue el sistema que mayor porcentaje de cumplimiento presentó según lo planeado a la fecha de corte, seguido del Sistema de Control Interno (62%) y Sistema de Seg</w:t>
      </w:r>
      <w:r w:rsidR="00CD536E">
        <w:rPr>
          <w:rFonts w:ascii="Arial" w:hAnsi="Arial" w:cs="Arial"/>
          <w:sz w:val="24"/>
          <w:szCs w:val="24"/>
          <w:lang w:val="es-ES"/>
        </w:rPr>
        <w:t>uridad de la Información (57%).</w:t>
      </w:r>
    </w:p>
    <w:p w:rsidR="001C0F52" w:rsidRDefault="001C0F52">
      <w:pPr>
        <w:rPr>
          <w:rFonts w:ascii="Arial" w:hAnsi="Arial" w:cs="Arial"/>
        </w:rPr>
      </w:pPr>
      <w:r>
        <w:rPr>
          <w:rFonts w:ascii="Arial" w:hAnsi="Arial" w:cs="Arial"/>
        </w:rPr>
        <w:br w:type="page"/>
      </w:r>
    </w:p>
    <w:p w:rsidR="00600F9C" w:rsidRDefault="00600F9C" w:rsidP="00600F9C">
      <w:pPr>
        <w:pStyle w:val="Prrafodelista"/>
        <w:rPr>
          <w:rFonts w:ascii="Arial" w:hAnsi="Arial" w:cs="Arial"/>
        </w:rPr>
      </w:pPr>
    </w:p>
    <w:p w:rsidR="00600F9C" w:rsidRDefault="00600F9C" w:rsidP="00600F9C">
      <w:pPr>
        <w:pStyle w:val="Descripcin"/>
        <w:jc w:val="center"/>
        <w:rPr>
          <w:rFonts w:cs="Arial"/>
          <w:i w:val="0"/>
          <w:color w:val="auto"/>
          <w:sz w:val="20"/>
        </w:rPr>
      </w:pPr>
      <w:r>
        <w:rPr>
          <w:rFonts w:cs="Arial"/>
          <w:i w:val="0"/>
          <w:color w:val="auto"/>
          <w:sz w:val="20"/>
        </w:rPr>
        <w:t xml:space="preserve">Figura </w:t>
      </w:r>
      <w:r>
        <w:rPr>
          <w:rFonts w:cs="Arial"/>
          <w:i w:val="0"/>
          <w:color w:val="auto"/>
          <w:sz w:val="20"/>
        </w:rPr>
        <w:fldChar w:fldCharType="begin"/>
      </w:r>
      <w:r>
        <w:rPr>
          <w:rFonts w:cs="Arial"/>
          <w:i w:val="0"/>
          <w:color w:val="auto"/>
          <w:sz w:val="20"/>
        </w:rPr>
        <w:instrText xml:space="preserve"> SEQ Figura \* ARABIC </w:instrText>
      </w:r>
      <w:r>
        <w:rPr>
          <w:rFonts w:cs="Arial"/>
          <w:i w:val="0"/>
          <w:color w:val="auto"/>
          <w:sz w:val="20"/>
        </w:rPr>
        <w:fldChar w:fldCharType="separate"/>
      </w:r>
      <w:r>
        <w:rPr>
          <w:rFonts w:cs="Arial"/>
          <w:i w:val="0"/>
          <w:noProof/>
          <w:color w:val="auto"/>
          <w:sz w:val="20"/>
        </w:rPr>
        <w:t>1</w:t>
      </w:r>
      <w:r>
        <w:rPr>
          <w:rFonts w:cs="Arial"/>
          <w:i w:val="0"/>
          <w:color w:val="auto"/>
          <w:sz w:val="20"/>
        </w:rPr>
        <w:fldChar w:fldCharType="end"/>
      </w:r>
      <w:r>
        <w:rPr>
          <w:rFonts w:cs="Arial"/>
          <w:i w:val="0"/>
          <w:color w:val="auto"/>
          <w:sz w:val="20"/>
        </w:rPr>
        <w:t>. Estado de cumplimiento de los planes del Sistema Integrado de Gestión</w:t>
      </w:r>
      <w:r>
        <w:rPr>
          <w:rStyle w:val="Refdenotaalpie"/>
          <w:rFonts w:cs="Arial"/>
          <w:i w:val="0"/>
          <w:color w:val="auto"/>
          <w:sz w:val="20"/>
        </w:rPr>
        <w:footnoteReference w:id="1"/>
      </w:r>
    </w:p>
    <w:p w:rsidR="00600F9C" w:rsidRDefault="00600F9C" w:rsidP="00600F9C">
      <w:pPr>
        <w:jc w:val="center"/>
      </w:pPr>
      <w:r>
        <w:rPr>
          <w:noProof/>
          <w:lang w:eastAsia="es-CO"/>
        </w:rPr>
        <w:drawing>
          <wp:inline distT="0" distB="0" distL="0" distR="0">
            <wp:extent cx="4486275" cy="2981325"/>
            <wp:effectExtent l="0" t="0" r="9525" b="952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0">
                      <a:extLst>
                        <a:ext uri="{28A0092B-C50C-407E-A947-70E740481C1C}">
                          <a14:useLocalDpi xmlns:a14="http://schemas.microsoft.com/office/drawing/2010/main" val="0"/>
                        </a:ext>
                      </a:extLst>
                    </a:blip>
                    <a:srcRect t="9206"/>
                    <a:stretch>
                      <a:fillRect/>
                    </a:stretch>
                  </pic:blipFill>
                  <pic:spPr bwMode="auto">
                    <a:xfrm>
                      <a:off x="0" y="0"/>
                      <a:ext cx="4486275" cy="2981325"/>
                    </a:xfrm>
                    <a:prstGeom prst="rect">
                      <a:avLst/>
                    </a:prstGeom>
                    <a:noFill/>
                    <a:ln>
                      <a:noFill/>
                    </a:ln>
                  </pic:spPr>
                </pic:pic>
              </a:graphicData>
            </a:graphic>
          </wp:inline>
        </w:drawing>
      </w:r>
    </w:p>
    <w:p w:rsidR="00600F9C" w:rsidRDefault="00600F9C" w:rsidP="00600F9C">
      <w:pPr>
        <w:pStyle w:val="Prrafodelista"/>
        <w:spacing w:line="276" w:lineRule="auto"/>
        <w:jc w:val="center"/>
        <w:rPr>
          <w:rFonts w:ascii="Arial" w:hAnsi="Arial" w:cs="Arial"/>
        </w:rPr>
      </w:pPr>
    </w:p>
    <w:p w:rsidR="00600F9C" w:rsidRDefault="00600F9C" w:rsidP="00600F9C">
      <w:pPr>
        <w:pStyle w:val="Prrafodelista"/>
        <w:spacing w:line="276" w:lineRule="auto"/>
        <w:jc w:val="center"/>
        <w:rPr>
          <w:rFonts w:ascii="Arial" w:hAnsi="Arial" w:cs="Arial"/>
        </w:rPr>
      </w:pPr>
      <w:r>
        <w:rPr>
          <w:rFonts w:ascii="Arial" w:hAnsi="Arial" w:cs="Arial"/>
        </w:rPr>
        <w:t>Tabla No. 1. Estado avance de los planes del Sistema Integrado de Gestión</w:t>
      </w:r>
    </w:p>
    <w:p w:rsidR="00600F9C" w:rsidRDefault="00600F9C" w:rsidP="00600F9C">
      <w:pPr>
        <w:pStyle w:val="Prrafodelista"/>
        <w:spacing w:line="276" w:lineRule="auto"/>
        <w:jc w:val="both"/>
        <w:rPr>
          <w:rFonts w:ascii="Arial" w:hAnsi="Arial" w:cs="Arial"/>
        </w:rPr>
      </w:pPr>
    </w:p>
    <w:tbl>
      <w:tblPr>
        <w:tblW w:w="0" w:type="dxa"/>
        <w:tblInd w:w="-289" w:type="dxa"/>
        <w:tblBorders>
          <w:top w:val="single" w:sz="4" w:space="0" w:color="auto"/>
          <w:left w:val="single" w:sz="4" w:space="0" w:color="auto"/>
          <w:bottom w:val="single" w:sz="4" w:space="0" w:color="auto"/>
          <w:right w:val="single" w:sz="4" w:space="0" w:color="auto"/>
          <w:insideH w:val="single" w:sz="4" w:space="0" w:color="D9D9D9"/>
          <w:insideV w:val="single" w:sz="4" w:space="0" w:color="D9D9D9"/>
        </w:tblBorders>
        <w:tblLayout w:type="fixed"/>
        <w:tblCellMar>
          <w:left w:w="70" w:type="dxa"/>
          <w:right w:w="70" w:type="dxa"/>
        </w:tblCellMar>
        <w:tblLook w:val="04A0" w:firstRow="1" w:lastRow="0" w:firstColumn="1" w:lastColumn="0" w:noHBand="0" w:noVBand="1"/>
      </w:tblPr>
      <w:tblGrid>
        <w:gridCol w:w="3114"/>
        <w:gridCol w:w="1307"/>
        <w:gridCol w:w="961"/>
        <w:gridCol w:w="1240"/>
        <w:gridCol w:w="945"/>
        <w:gridCol w:w="839"/>
        <w:gridCol w:w="547"/>
        <w:gridCol w:w="1249"/>
      </w:tblGrid>
      <w:tr w:rsidR="00600F9C" w:rsidTr="00600F9C">
        <w:trPr>
          <w:trHeight w:val="960"/>
        </w:trPr>
        <w:tc>
          <w:tcPr>
            <w:tcW w:w="3114" w:type="dxa"/>
            <w:tcBorders>
              <w:top w:val="single" w:sz="4" w:space="0" w:color="auto"/>
              <w:left w:val="single" w:sz="4" w:space="0" w:color="auto"/>
              <w:bottom w:val="single" w:sz="4" w:space="0" w:color="D9D9D9"/>
              <w:right w:val="single" w:sz="4" w:space="0" w:color="D9D9D9"/>
            </w:tcBorders>
            <w:shd w:val="clear" w:color="auto" w:fill="FFFFFF"/>
            <w:noWrap/>
            <w:vAlign w:val="center"/>
            <w:hideMark/>
          </w:tcPr>
          <w:p w:rsidR="00600F9C" w:rsidRDefault="00600F9C">
            <w:pPr>
              <w:rPr>
                <w:rFonts w:ascii="Century Gothic" w:hAnsi="Century Gothic" w:cs="Calibri"/>
                <w:b/>
                <w:bCs/>
                <w:sz w:val="18"/>
                <w:szCs w:val="18"/>
                <w:lang w:eastAsia="es-CO"/>
              </w:rPr>
            </w:pPr>
            <w:r>
              <w:rPr>
                <w:rFonts w:ascii="Century Gothic" w:hAnsi="Century Gothic" w:cs="Calibri"/>
                <w:b/>
                <w:bCs/>
                <w:sz w:val="18"/>
                <w:szCs w:val="18"/>
                <w:lang w:eastAsia="es-CO"/>
              </w:rPr>
              <w:t>Sistema de Gestión</w:t>
            </w:r>
          </w:p>
        </w:tc>
        <w:tc>
          <w:tcPr>
            <w:tcW w:w="1307" w:type="dxa"/>
            <w:tcBorders>
              <w:top w:val="single" w:sz="4" w:space="0" w:color="auto"/>
              <w:left w:val="single" w:sz="4" w:space="0" w:color="D9D9D9"/>
              <w:bottom w:val="single" w:sz="4" w:space="0" w:color="D9D9D9"/>
              <w:right w:val="single" w:sz="4" w:space="0" w:color="D9D9D9"/>
            </w:tcBorders>
            <w:shd w:val="clear" w:color="auto" w:fill="FFFFFF"/>
            <w:vAlign w:val="center"/>
            <w:hideMark/>
          </w:tcPr>
          <w:p w:rsidR="00600F9C" w:rsidRDefault="00600F9C">
            <w:pPr>
              <w:jc w:val="center"/>
              <w:rPr>
                <w:rFonts w:ascii="Century Gothic" w:hAnsi="Century Gothic" w:cs="Calibri"/>
                <w:b/>
                <w:bCs/>
                <w:sz w:val="16"/>
                <w:szCs w:val="18"/>
                <w:lang w:eastAsia="es-CO"/>
              </w:rPr>
            </w:pPr>
            <w:r>
              <w:rPr>
                <w:rFonts w:ascii="Century Gothic" w:hAnsi="Century Gothic" w:cs="Calibri"/>
                <w:b/>
                <w:bCs/>
                <w:sz w:val="16"/>
                <w:szCs w:val="18"/>
                <w:lang w:eastAsia="es-CO"/>
              </w:rPr>
              <w:t xml:space="preserve">Total </w:t>
            </w:r>
            <w:proofErr w:type="spellStart"/>
            <w:r>
              <w:rPr>
                <w:rFonts w:ascii="Century Gothic" w:hAnsi="Century Gothic" w:cs="Calibri"/>
                <w:b/>
                <w:bCs/>
                <w:sz w:val="16"/>
                <w:szCs w:val="18"/>
                <w:lang w:eastAsia="es-CO"/>
              </w:rPr>
              <w:t>Act</w:t>
            </w:r>
            <w:proofErr w:type="spellEnd"/>
            <w:r>
              <w:rPr>
                <w:rFonts w:ascii="Century Gothic" w:hAnsi="Century Gothic" w:cs="Calibri"/>
                <w:b/>
                <w:bCs/>
                <w:sz w:val="16"/>
                <w:szCs w:val="18"/>
                <w:lang w:eastAsia="es-CO"/>
              </w:rPr>
              <w:t>. Cumplidas (Acumulado)</w:t>
            </w:r>
          </w:p>
        </w:tc>
        <w:tc>
          <w:tcPr>
            <w:tcW w:w="961" w:type="dxa"/>
            <w:tcBorders>
              <w:top w:val="single" w:sz="4" w:space="0" w:color="auto"/>
              <w:left w:val="single" w:sz="4" w:space="0" w:color="D9D9D9"/>
              <w:bottom w:val="single" w:sz="4" w:space="0" w:color="D9D9D9"/>
              <w:right w:val="single" w:sz="4" w:space="0" w:color="D9D9D9"/>
            </w:tcBorders>
            <w:shd w:val="clear" w:color="auto" w:fill="FFFFFF"/>
            <w:vAlign w:val="center"/>
            <w:hideMark/>
          </w:tcPr>
          <w:p w:rsidR="00600F9C" w:rsidRDefault="00600F9C">
            <w:pPr>
              <w:jc w:val="center"/>
              <w:rPr>
                <w:rFonts w:ascii="Century Gothic" w:hAnsi="Century Gothic" w:cs="Calibri"/>
                <w:b/>
                <w:bCs/>
                <w:sz w:val="16"/>
                <w:szCs w:val="18"/>
                <w:lang w:eastAsia="es-CO"/>
              </w:rPr>
            </w:pPr>
            <w:r>
              <w:rPr>
                <w:rFonts w:ascii="Century Gothic" w:hAnsi="Century Gothic" w:cs="Calibri"/>
                <w:b/>
                <w:bCs/>
                <w:sz w:val="16"/>
                <w:szCs w:val="18"/>
                <w:lang w:eastAsia="es-CO"/>
              </w:rPr>
              <w:t xml:space="preserve">Total </w:t>
            </w:r>
            <w:proofErr w:type="spellStart"/>
            <w:r>
              <w:rPr>
                <w:rFonts w:ascii="Century Gothic" w:hAnsi="Century Gothic" w:cs="Calibri"/>
                <w:b/>
                <w:bCs/>
                <w:sz w:val="16"/>
                <w:szCs w:val="18"/>
                <w:lang w:eastAsia="es-CO"/>
              </w:rPr>
              <w:t>Act</w:t>
            </w:r>
            <w:proofErr w:type="spellEnd"/>
            <w:r>
              <w:rPr>
                <w:rFonts w:ascii="Century Gothic" w:hAnsi="Century Gothic" w:cs="Calibri"/>
                <w:b/>
                <w:bCs/>
                <w:sz w:val="16"/>
                <w:szCs w:val="18"/>
                <w:lang w:eastAsia="es-CO"/>
              </w:rPr>
              <w:t>. Vencidas*</w:t>
            </w:r>
          </w:p>
        </w:tc>
        <w:tc>
          <w:tcPr>
            <w:tcW w:w="1240" w:type="dxa"/>
            <w:tcBorders>
              <w:top w:val="single" w:sz="4" w:space="0" w:color="auto"/>
              <w:left w:val="single" w:sz="4" w:space="0" w:color="D9D9D9"/>
              <w:bottom w:val="single" w:sz="4" w:space="0" w:color="D9D9D9"/>
              <w:right w:val="single" w:sz="4" w:space="0" w:color="D9D9D9"/>
            </w:tcBorders>
            <w:shd w:val="clear" w:color="auto" w:fill="FFFFFF"/>
            <w:vAlign w:val="center"/>
            <w:hideMark/>
          </w:tcPr>
          <w:p w:rsidR="00600F9C" w:rsidRDefault="00600F9C">
            <w:pPr>
              <w:jc w:val="center"/>
              <w:rPr>
                <w:rFonts w:ascii="Century Gothic" w:hAnsi="Century Gothic" w:cs="Calibri"/>
                <w:b/>
                <w:bCs/>
                <w:sz w:val="16"/>
                <w:szCs w:val="18"/>
                <w:lang w:eastAsia="es-CO"/>
              </w:rPr>
            </w:pPr>
            <w:r>
              <w:rPr>
                <w:rFonts w:ascii="Century Gothic" w:hAnsi="Century Gothic" w:cs="Calibri"/>
                <w:b/>
                <w:bCs/>
                <w:sz w:val="16"/>
                <w:szCs w:val="18"/>
                <w:lang w:eastAsia="es-CO"/>
              </w:rPr>
              <w:t xml:space="preserve">Total </w:t>
            </w:r>
            <w:proofErr w:type="spellStart"/>
            <w:r>
              <w:rPr>
                <w:rFonts w:ascii="Century Gothic" w:hAnsi="Century Gothic" w:cs="Calibri"/>
                <w:b/>
                <w:bCs/>
                <w:sz w:val="16"/>
                <w:szCs w:val="18"/>
                <w:lang w:eastAsia="es-CO"/>
              </w:rPr>
              <w:t>Act</w:t>
            </w:r>
            <w:proofErr w:type="spellEnd"/>
            <w:r>
              <w:rPr>
                <w:rFonts w:ascii="Century Gothic" w:hAnsi="Century Gothic" w:cs="Calibri"/>
                <w:b/>
                <w:bCs/>
                <w:sz w:val="16"/>
                <w:szCs w:val="18"/>
                <w:lang w:eastAsia="es-CO"/>
              </w:rPr>
              <w:t>. En Avance</w:t>
            </w:r>
          </w:p>
        </w:tc>
        <w:tc>
          <w:tcPr>
            <w:tcW w:w="945" w:type="dxa"/>
            <w:tcBorders>
              <w:top w:val="single" w:sz="4" w:space="0" w:color="auto"/>
              <w:left w:val="single" w:sz="4" w:space="0" w:color="D9D9D9"/>
              <w:bottom w:val="single" w:sz="4" w:space="0" w:color="D9D9D9"/>
              <w:right w:val="single" w:sz="4" w:space="0" w:color="D9D9D9"/>
            </w:tcBorders>
            <w:shd w:val="clear" w:color="auto" w:fill="FFFFFF"/>
            <w:vAlign w:val="center"/>
            <w:hideMark/>
          </w:tcPr>
          <w:p w:rsidR="00600F9C" w:rsidRDefault="00600F9C">
            <w:pPr>
              <w:jc w:val="center"/>
              <w:rPr>
                <w:rFonts w:ascii="Century Gothic" w:hAnsi="Century Gothic" w:cs="Calibri"/>
                <w:b/>
                <w:bCs/>
                <w:sz w:val="16"/>
                <w:szCs w:val="18"/>
                <w:lang w:eastAsia="es-CO"/>
              </w:rPr>
            </w:pPr>
            <w:r>
              <w:rPr>
                <w:rFonts w:ascii="Century Gothic" w:hAnsi="Century Gothic" w:cs="Calibri"/>
                <w:b/>
                <w:bCs/>
                <w:sz w:val="16"/>
                <w:szCs w:val="18"/>
                <w:lang w:eastAsia="es-CO"/>
              </w:rPr>
              <w:t xml:space="preserve">Total </w:t>
            </w:r>
            <w:proofErr w:type="spellStart"/>
            <w:r>
              <w:rPr>
                <w:rFonts w:ascii="Century Gothic" w:hAnsi="Century Gothic" w:cs="Calibri"/>
                <w:b/>
                <w:bCs/>
                <w:sz w:val="16"/>
                <w:szCs w:val="18"/>
                <w:lang w:eastAsia="es-CO"/>
              </w:rPr>
              <w:t>Act</w:t>
            </w:r>
            <w:proofErr w:type="spellEnd"/>
            <w:r>
              <w:rPr>
                <w:rFonts w:ascii="Century Gothic" w:hAnsi="Century Gothic" w:cs="Calibri"/>
                <w:b/>
                <w:bCs/>
                <w:sz w:val="16"/>
                <w:szCs w:val="18"/>
                <w:lang w:eastAsia="es-CO"/>
              </w:rPr>
              <w:t>. Sin Avance</w:t>
            </w:r>
          </w:p>
        </w:tc>
        <w:tc>
          <w:tcPr>
            <w:tcW w:w="839" w:type="dxa"/>
            <w:tcBorders>
              <w:top w:val="single" w:sz="4" w:space="0" w:color="auto"/>
              <w:left w:val="single" w:sz="4" w:space="0" w:color="D9D9D9"/>
              <w:bottom w:val="single" w:sz="4" w:space="0" w:color="D9D9D9"/>
              <w:right w:val="single" w:sz="4" w:space="0" w:color="D9D9D9"/>
            </w:tcBorders>
            <w:shd w:val="clear" w:color="auto" w:fill="FFFFFF"/>
            <w:vAlign w:val="center"/>
            <w:hideMark/>
          </w:tcPr>
          <w:p w:rsidR="00600F9C" w:rsidRDefault="00600F9C">
            <w:pPr>
              <w:jc w:val="center"/>
              <w:rPr>
                <w:rFonts w:ascii="Century Gothic" w:hAnsi="Century Gothic" w:cs="Calibri"/>
                <w:b/>
                <w:bCs/>
                <w:sz w:val="16"/>
                <w:szCs w:val="18"/>
                <w:lang w:eastAsia="es-CO"/>
              </w:rPr>
            </w:pPr>
            <w:r>
              <w:rPr>
                <w:rFonts w:ascii="Century Gothic" w:hAnsi="Century Gothic" w:cs="Calibri"/>
                <w:b/>
                <w:bCs/>
                <w:sz w:val="16"/>
                <w:szCs w:val="18"/>
                <w:lang w:eastAsia="es-CO"/>
              </w:rPr>
              <w:t xml:space="preserve">Total </w:t>
            </w:r>
            <w:proofErr w:type="spellStart"/>
            <w:r>
              <w:rPr>
                <w:rFonts w:ascii="Century Gothic" w:hAnsi="Century Gothic" w:cs="Calibri"/>
                <w:b/>
                <w:bCs/>
                <w:sz w:val="16"/>
                <w:szCs w:val="18"/>
                <w:lang w:eastAsia="es-CO"/>
              </w:rPr>
              <w:t>Act</w:t>
            </w:r>
            <w:proofErr w:type="spellEnd"/>
            <w:r>
              <w:rPr>
                <w:rFonts w:ascii="Century Gothic" w:hAnsi="Century Gothic" w:cs="Calibri"/>
                <w:b/>
                <w:bCs/>
                <w:sz w:val="16"/>
                <w:szCs w:val="18"/>
                <w:lang w:eastAsia="es-CO"/>
              </w:rPr>
              <w:t>. NA. Al Corte</w:t>
            </w:r>
          </w:p>
        </w:tc>
        <w:tc>
          <w:tcPr>
            <w:tcW w:w="547" w:type="dxa"/>
            <w:tcBorders>
              <w:top w:val="single" w:sz="4" w:space="0" w:color="auto"/>
              <w:left w:val="single" w:sz="4" w:space="0" w:color="D9D9D9"/>
              <w:bottom w:val="single" w:sz="4" w:space="0" w:color="D9D9D9"/>
              <w:right w:val="single" w:sz="4" w:space="0" w:color="D9D9D9"/>
            </w:tcBorders>
            <w:shd w:val="clear" w:color="auto" w:fill="D0CECE"/>
            <w:vAlign w:val="center"/>
            <w:hideMark/>
          </w:tcPr>
          <w:p w:rsidR="00600F9C" w:rsidRDefault="00600F9C">
            <w:pPr>
              <w:jc w:val="center"/>
              <w:rPr>
                <w:rFonts w:ascii="Century Gothic" w:hAnsi="Century Gothic" w:cs="Calibri"/>
                <w:b/>
                <w:bCs/>
                <w:sz w:val="16"/>
                <w:szCs w:val="18"/>
                <w:lang w:eastAsia="es-CO"/>
              </w:rPr>
            </w:pPr>
            <w:r>
              <w:rPr>
                <w:rFonts w:ascii="Century Gothic" w:hAnsi="Century Gothic" w:cs="Calibri"/>
                <w:b/>
                <w:bCs/>
                <w:sz w:val="16"/>
                <w:szCs w:val="18"/>
                <w:lang w:eastAsia="es-CO"/>
              </w:rPr>
              <w:t xml:space="preserve">Total </w:t>
            </w:r>
            <w:proofErr w:type="spellStart"/>
            <w:r>
              <w:rPr>
                <w:rFonts w:ascii="Century Gothic" w:hAnsi="Century Gothic" w:cs="Calibri"/>
                <w:b/>
                <w:bCs/>
                <w:sz w:val="16"/>
                <w:szCs w:val="18"/>
                <w:lang w:eastAsia="es-CO"/>
              </w:rPr>
              <w:t>Act</w:t>
            </w:r>
            <w:proofErr w:type="spellEnd"/>
            <w:r>
              <w:rPr>
                <w:rFonts w:ascii="Century Gothic" w:hAnsi="Century Gothic" w:cs="Calibri"/>
                <w:b/>
                <w:bCs/>
                <w:sz w:val="16"/>
                <w:szCs w:val="18"/>
                <w:lang w:eastAsia="es-CO"/>
              </w:rPr>
              <w:t>. Plan</w:t>
            </w:r>
          </w:p>
        </w:tc>
        <w:tc>
          <w:tcPr>
            <w:tcW w:w="1249" w:type="dxa"/>
            <w:tcBorders>
              <w:top w:val="single" w:sz="4" w:space="0" w:color="auto"/>
              <w:left w:val="single" w:sz="4" w:space="0" w:color="D9D9D9"/>
              <w:bottom w:val="single" w:sz="4" w:space="0" w:color="D9D9D9"/>
              <w:right w:val="single" w:sz="4" w:space="0" w:color="auto"/>
            </w:tcBorders>
            <w:shd w:val="clear" w:color="auto" w:fill="C6E0B4"/>
            <w:vAlign w:val="center"/>
            <w:hideMark/>
          </w:tcPr>
          <w:p w:rsidR="00600F9C" w:rsidRDefault="00600F9C">
            <w:pPr>
              <w:jc w:val="center"/>
              <w:rPr>
                <w:rFonts w:ascii="Century Gothic" w:hAnsi="Century Gothic" w:cs="Calibri"/>
                <w:b/>
                <w:bCs/>
                <w:sz w:val="16"/>
                <w:szCs w:val="18"/>
                <w:lang w:eastAsia="es-CO"/>
              </w:rPr>
            </w:pPr>
            <w:r>
              <w:rPr>
                <w:rFonts w:ascii="Century Gothic" w:hAnsi="Century Gothic" w:cs="Calibri"/>
                <w:b/>
                <w:bCs/>
                <w:sz w:val="16"/>
                <w:szCs w:val="18"/>
                <w:lang w:eastAsia="es-CO"/>
              </w:rPr>
              <w:t>Estado avance plan (Actividades Cumplidas)</w:t>
            </w:r>
          </w:p>
        </w:tc>
      </w:tr>
      <w:tr w:rsidR="00600F9C" w:rsidTr="00600F9C">
        <w:trPr>
          <w:trHeight w:val="315"/>
        </w:trPr>
        <w:tc>
          <w:tcPr>
            <w:tcW w:w="3114" w:type="dxa"/>
            <w:tcBorders>
              <w:top w:val="single" w:sz="4" w:space="0" w:color="D9D9D9"/>
              <w:left w:val="single" w:sz="4" w:space="0" w:color="auto"/>
              <w:bottom w:val="single" w:sz="4" w:space="0" w:color="D9D9D9"/>
              <w:right w:val="single" w:sz="4" w:space="0" w:color="D9D9D9"/>
            </w:tcBorders>
            <w:shd w:val="clear" w:color="auto" w:fill="FFFFFF"/>
            <w:noWrap/>
            <w:vAlign w:val="center"/>
            <w:hideMark/>
          </w:tcPr>
          <w:p w:rsidR="00600F9C" w:rsidRDefault="00600F9C">
            <w:pPr>
              <w:rPr>
                <w:rFonts w:ascii="Century Gothic" w:hAnsi="Century Gothic" w:cs="Calibri"/>
                <w:sz w:val="18"/>
                <w:szCs w:val="18"/>
                <w:lang w:eastAsia="es-CO"/>
              </w:rPr>
            </w:pPr>
            <w:r>
              <w:rPr>
                <w:rFonts w:ascii="Century Gothic" w:hAnsi="Century Gothic" w:cs="Calibri"/>
                <w:sz w:val="18"/>
                <w:szCs w:val="18"/>
                <w:lang w:eastAsia="es-CO"/>
              </w:rPr>
              <w:t>Sistema de Control Interno</w:t>
            </w:r>
          </w:p>
        </w:tc>
        <w:tc>
          <w:tcPr>
            <w:tcW w:w="1307" w:type="dxa"/>
            <w:tcBorders>
              <w:top w:val="single" w:sz="4" w:space="0" w:color="D9D9D9"/>
              <w:left w:val="single" w:sz="4" w:space="0" w:color="D9D9D9"/>
              <w:bottom w:val="single" w:sz="4" w:space="0" w:color="D9D9D9"/>
              <w:right w:val="single" w:sz="4" w:space="0" w:color="D9D9D9"/>
            </w:tcBorders>
            <w:shd w:val="clear" w:color="auto" w:fill="FFFFFF"/>
            <w:noWrap/>
            <w:vAlign w:val="center"/>
            <w:hideMark/>
          </w:tcPr>
          <w:p w:rsidR="00600F9C" w:rsidRDefault="00600F9C">
            <w:pPr>
              <w:jc w:val="center"/>
              <w:rPr>
                <w:rFonts w:ascii="Century Gothic" w:hAnsi="Century Gothic" w:cs="Calibri"/>
                <w:sz w:val="18"/>
                <w:szCs w:val="18"/>
                <w:lang w:eastAsia="es-CO"/>
              </w:rPr>
            </w:pPr>
            <w:r>
              <w:rPr>
                <w:rFonts w:ascii="Century Gothic" w:hAnsi="Century Gothic" w:cs="Calibri"/>
                <w:sz w:val="18"/>
                <w:szCs w:val="18"/>
                <w:lang w:eastAsia="es-CO"/>
              </w:rPr>
              <w:t>21</w:t>
            </w:r>
          </w:p>
        </w:tc>
        <w:tc>
          <w:tcPr>
            <w:tcW w:w="961" w:type="dxa"/>
            <w:tcBorders>
              <w:top w:val="single" w:sz="4" w:space="0" w:color="D9D9D9"/>
              <w:left w:val="single" w:sz="4" w:space="0" w:color="D9D9D9"/>
              <w:bottom w:val="single" w:sz="4" w:space="0" w:color="D9D9D9"/>
              <w:right w:val="single" w:sz="4" w:space="0" w:color="D9D9D9"/>
            </w:tcBorders>
            <w:shd w:val="clear" w:color="auto" w:fill="FFFFFF"/>
            <w:noWrap/>
            <w:vAlign w:val="center"/>
            <w:hideMark/>
          </w:tcPr>
          <w:p w:rsidR="00600F9C" w:rsidRDefault="00600F9C">
            <w:pPr>
              <w:jc w:val="center"/>
              <w:rPr>
                <w:rFonts w:ascii="Century Gothic" w:hAnsi="Century Gothic" w:cs="Calibri"/>
                <w:sz w:val="18"/>
                <w:szCs w:val="18"/>
                <w:lang w:eastAsia="es-CO"/>
              </w:rPr>
            </w:pPr>
            <w:r>
              <w:rPr>
                <w:rFonts w:ascii="Century Gothic" w:hAnsi="Century Gothic" w:cs="Calibri"/>
                <w:sz w:val="18"/>
                <w:szCs w:val="18"/>
                <w:lang w:eastAsia="es-CO"/>
              </w:rPr>
              <w:t>4</w:t>
            </w:r>
          </w:p>
        </w:tc>
        <w:tc>
          <w:tcPr>
            <w:tcW w:w="1240" w:type="dxa"/>
            <w:tcBorders>
              <w:top w:val="single" w:sz="4" w:space="0" w:color="D9D9D9"/>
              <w:left w:val="single" w:sz="4" w:space="0" w:color="D9D9D9"/>
              <w:bottom w:val="single" w:sz="4" w:space="0" w:color="D9D9D9"/>
              <w:right w:val="single" w:sz="4" w:space="0" w:color="D9D9D9"/>
            </w:tcBorders>
            <w:shd w:val="clear" w:color="auto" w:fill="FFFFFF"/>
            <w:noWrap/>
            <w:vAlign w:val="center"/>
            <w:hideMark/>
          </w:tcPr>
          <w:p w:rsidR="00600F9C" w:rsidRDefault="00600F9C">
            <w:pPr>
              <w:jc w:val="center"/>
              <w:rPr>
                <w:rFonts w:ascii="Century Gothic" w:hAnsi="Century Gothic" w:cs="Calibri"/>
                <w:sz w:val="18"/>
                <w:szCs w:val="18"/>
                <w:lang w:eastAsia="es-CO"/>
              </w:rPr>
            </w:pPr>
            <w:r>
              <w:rPr>
                <w:rFonts w:ascii="Century Gothic" w:hAnsi="Century Gothic" w:cs="Calibri"/>
                <w:sz w:val="18"/>
                <w:szCs w:val="18"/>
                <w:lang w:eastAsia="es-CO"/>
              </w:rPr>
              <w:t>0</w:t>
            </w:r>
          </w:p>
        </w:tc>
        <w:tc>
          <w:tcPr>
            <w:tcW w:w="945" w:type="dxa"/>
            <w:tcBorders>
              <w:top w:val="single" w:sz="4" w:space="0" w:color="D9D9D9"/>
              <w:left w:val="single" w:sz="4" w:space="0" w:color="D9D9D9"/>
              <w:bottom w:val="single" w:sz="4" w:space="0" w:color="D9D9D9"/>
              <w:right w:val="single" w:sz="4" w:space="0" w:color="D9D9D9"/>
            </w:tcBorders>
            <w:shd w:val="clear" w:color="auto" w:fill="FFFFFF"/>
            <w:noWrap/>
            <w:vAlign w:val="center"/>
            <w:hideMark/>
          </w:tcPr>
          <w:p w:rsidR="00600F9C" w:rsidRDefault="00600F9C">
            <w:pPr>
              <w:jc w:val="center"/>
              <w:rPr>
                <w:rFonts w:ascii="Century Gothic" w:hAnsi="Century Gothic" w:cs="Calibri"/>
                <w:sz w:val="18"/>
                <w:szCs w:val="18"/>
                <w:lang w:eastAsia="es-CO"/>
              </w:rPr>
            </w:pPr>
            <w:r>
              <w:rPr>
                <w:rFonts w:ascii="Century Gothic" w:hAnsi="Century Gothic" w:cs="Calibri"/>
                <w:sz w:val="18"/>
                <w:szCs w:val="18"/>
                <w:lang w:eastAsia="es-CO"/>
              </w:rPr>
              <w:t>5</w:t>
            </w:r>
          </w:p>
        </w:tc>
        <w:tc>
          <w:tcPr>
            <w:tcW w:w="839" w:type="dxa"/>
            <w:tcBorders>
              <w:top w:val="single" w:sz="4" w:space="0" w:color="D9D9D9"/>
              <w:left w:val="single" w:sz="4" w:space="0" w:color="D9D9D9"/>
              <w:bottom w:val="single" w:sz="4" w:space="0" w:color="D9D9D9"/>
              <w:right w:val="single" w:sz="4" w:space="0" w:color="D9D9D9"/>
            </w:tcBorders>
            <w:shd w:val="clear" w:color="auto" w:fill="FFFFFF"/>
            <w:noWrap/>
            <w:vAlign w:val="center"/>
            <w:hideMark/>
          </w:tcPr>
          <w:p w:rsidR="00600F9C" w:rsidRDefault="00600F9C">
            <w:pPr>
              <w:jc w:val="center"/>
              <w:rPr>
                <w:rFonts w:ascii="Century Gothic" w:hAnsi="Century Gothic" w:cs="Calibri"/>
                <w:sz w:val="18"/>
                <w:szCs w:val="18"/>
                <w:lang w:eastAsia="es-CO"/>
              </w:rPr>
            </w:pPr>
            <w:r>
              <w:rPr>
                <w:rFonts w:ascii="Century Gothic" w:hAnsi="Century Gothic" w:cs="Calibri"/>
                <w:sz w:val="18"/>
                <w:szCs w:val="18"/>
                <w:lang w:eastAsia="es-CO"/>
              </w:rPr>
              <w:t>4</w:t>
            </w:r>
          </w:p>
        </w:tc>
        <w:tc>
          <w:tcPr>
            <w:tcW w:w="547" w:type="dxa"/>
            <w:tcBorders>
              <w:top w:val="single" w:sz="4" w:space="0" w:color="D9D9D9"/>
              <w:left w:val="single" w:sz="4" w:space="0" w:color="D9D9D9"/>
              <w:bottom w:val="single" w:sz="4" w:space="0" w:color="D9D9D9"/>
              <w:right w:val="single" w:sz="4" w:space="0" w:color="D9D9D9"/>
            </w:tcBorders>
            <w:shd w:val="clear" w:color="auto" w:fill="D0CECE"/>
            <w:vAlign w:val="center"/>
            <w:hideMark/>
          </w:tcPr>
          <w:p w:rsidR="00600F9C" w:rsidRDefault="00600F9C">
            <w:pPr>
              <w:jc w:val="center"/>
              <w:rPr>
                <w:rFonts w:ascii="Century Gothic" w:hAnsi="Century Gothic" w:cs="Calibri"/>
                <w:b/>
                <w:bCs/>
                <w:sz w:val="18"/>
                <w:szCs w:val="18"/>
                <w:lang w:eastAsia="es-CO"/>
              </w:rPr>
            </w:pPr>
            <w:r>
              <w:rPr>
                <w:rFonts w:ascii="Century Gothic" w:hAnsi="Century Gothic" w:cs="Calibri"/>
                <w:b/>
                <w:bCs/>
                <w:sz w:val="18"/>
                <w:szCs w:val="18"/>
                <w:lang w:eastAsia="es-CO"/>
              </w:rPr>
              <w:t>34</w:t>
            </w:r>
          </w:p>
        </w:tc>
        <w:tc>
          <w:tcPr>
            <w:tcW w:w="1249" w:type="dxa"/>
            <w:tcBorders>
              <w:top w:val="single" w:sz="4" w:space="0" w:color="D9D9D9"/>
              <w:left w:val="single" w:sz="4" w:space="0" w:color="D9D9D9"/>
              <w:bottom w:val="single" w:sz="4" w:space="0" w:color="D9D9D9"/>
              <w:right w:val="single" w:sz="4" w:space="0" w:color="auto"/>
            </w:tcBorders>
            <w:shd w:val="clear" w:color="auto" w:fill="C6E0B4"/>
            <w:noWrap/>
            <w:vAlign w:val="center"/>
            <w:hideMark/>
          </w:tcPr>
          <w:p w:rsidR="00600F9C" w:rsidRDefault="00600F9C">
            <w:pPr>
              <w:jc w:val="center"/>
              <w:rPr>
                <w:rFonts w:ascii="Century Gothic" w:hAnsi="Century Gothic" w:cs="Calibri"/>
                <w:b/>
                <w:bCs/>
                <w:sz w:val="18"/>
                <w:szCs w:val="18"/>
                <w:lang w:eastAsia="es-CO"/>
              </w:rPr>
            </w:pPr>
            <w:r>
              <w:rPr>
                <w:rFonts w:ascii="Century Gothic" w:hAnsi="Century Gothic" w:cs="Calibri"/>
                <w:b/>
                <w:bCs/>
                <w:sz w:val="18"/>
                <w:szCs w:val="18"/>
              </w:rPr>
              <w:t>62%</w:t>
            </w:r>
          </w:p>
        </w:tc>
      </w:tr>
      <w:tr w:rsidR="00600F9C" w:rsidTr="00600F9C">
        <w:trPr>
          <w:trHeight w:val="315"/>
        </w:trPr>
        <w:tc>
          <w:tcPr>
            <w:tcW w:w="3114" w:type="dxa"/>
            <w:tcBorders>
              <w:top w:val="single" w:sz="4" w:space="0" w:color="D9D9D9"/>
              <w:left w:val="single" w:sz="4" w:space="0" w:color="auto"/>
              <w:bottom w:val="single" w:sz="4" w:space="0" w:color="D9D9D9"/>
              <w:right w:val="single" w:sz="4" w:space="0" w:color="D9D9D9"/>
            </w:tcBorders>
            <w:shd w:val="clear" w:color="auto" w:fill="FFFFFF"/>
            <w:noWrap/>
            <w:vAlign w:val="center"/>
            <w:hideMark/>
          </w:tcPr>
          <w:p w:rsidR="00600F9C" w:rsidRDefault="00600F9C">
            <w:pPr>
              <w:rPr>
                <w:rFonts w:ascii="Century Gothic" w:hAnsi="Century Gothic" w:cs="Calibri"/>
                <w:sz w:val="18"/>
                <w:szCs w:val="18"/>
                <w:lang w:eastAsia="es-CO"/>
              </w:rPr>
            </w:pPr>
            <w:r>
              <w:rPr>
                <w:rFonts w:ascii="Century Gothic" w:hAnsi="Century Gothic" w:cs="Calibri"/>
                <w:sz w:val="18"/>
                <w:szCs w:val="18"/>
                <w:lang w:eastAsia="es-CO"/>
              </w:rPr>
              <w:t>Sistema Gestión de Calidad</w:t>
            </w:r>
          </w:p>
        </w:tc>
        <w:tc>
          <w:tcPr>
            <w:tcW w:w="1307" w:type="dxa"/>
            <w:tcBorders>
              <w:top w:val="single" w:sz="4" w:space="0" w:color="D9D9D9"/>
              <w:left w:val="single" w:sz="4" w:space="0" w:color="D9D9D9"/>
              <w:bottom w:val="single" w:sz="4" w:space="0" w:color="D9D9D9"/>
              <w:right w:val="single" w:sz="4" w:space="0" w:color="D9D9D9"/>
            </w:tcBorders>
            <w:shd w:val="clear" w:color="auto" w:fill="FFFFFF"/>
            <w:noWrap/>
            <w:vAlign w:val="center"/>
            <w:hideMark/>
          </w:tcPr>
          <w:p w:rsidR="00600F9C" w:rsidRDefault="00600F9C">
            <w:pPr>
              <w:jc w:val="center"/>
              <w:rPr>
                <w:rFonts w:ascii="Century Gothic" w:hAnsi="Century Gothic" w:cs="Calibri"/>
                <w:sz w:val="18"/>
                <w:szCs w:val="18"/>
                <w:lang w:eastAsia="es-CO"/>
              </w:rPr>
            </w:pPr>
            <w:r>
              <w:rPr>
                <w:rFonts w:ascii="Century Gothic" w:hAnsi="Century Gothic" w:cs="Calibri"/>
                <w:sz w:val="18"/>
                <w:szCs w:val="18"/>
                <w:lang w:eastAsia="es-CO"/>
              </w:rPr>
              <w:t>38</w:t>
            </w:r>
          </w:p>
        </w:tc>
        <w:tc>
          <w:tcPr>
            <w:tcW w:w="961" w:type="dxa"/>
            <w:tcBorders>
              <w:top w:val="single" w:sz="4" w:space="0" w:color="D9D9D9"/>
              <w:left w:val="single" w:sz="4" w:space="0" w:color="D9D9D9"/>
              <w:bottom w:val="single" w:sz="4" w:space="0" w:color="D9D9D9"/>
              <w:right w:val="single" w:sz="4" w:space="0" w:color="D9D9D9"/>
            </w:tcBorders>
            <w:shd w:val="clear" w:color="auto" w:fill="FFFFFF"/>
            <w:noWrap/>
            <w:vAlign w:val="center"/>
            <w:hideMark/>
          </w:tcPr>
          <w:p w:rsidR="00600F9C" w:rsidRDefault="00600F9C">
            <w:pPr>
              <w:jc w:val="center"/>
              <w:rPr>
                <w:rFonts w:ascii="Century Gothic" w:hAnsi="Century Gothic" w:cs="Calibri"/>
                <w:sz w:val="18"/>
                <w:szCs w:val="18"/>
                <w:lang w:eastAsia="es-CO"/>
              </w:rPr>
            </w:pPr>
            <w:r>
              <w:rPr>
                <w:rFonts w:ascii="Century Gothic" w:hAnsi="Century Gothic" w:cs="Calibri"/>
                <w:sz w:val="18"/>
                <w:szCs w:val="18"/>
                <w:lang w:eastAsia="es-CO"/>
              </w:rPr>
              <w:t>7</w:t>
            </w:r>
          </w:p>
        </w:tc>
        <w:tc>
          <w:tcPr>
            <w:tcW w:w="1240" w:type="dxa"/>
            <w:tcBorders>
              <w:top w:val="single" w:sz="4" w:space="0" w:color="D9D9D9"/>
              <w:left w:val="single" w:sz="4" w:space="0" w:color="D9D9D9"/>
              <w:bottom w:val="single" w:sz="4" w:space="0" w:color="D9D9D9"/>
              <w:right w:val="single" w:sz="4" w:space="0" w:color="D9D9D9"/>
            </w:tcBorders>
            <w:shd w:val="clear" w:color="auto" w:fill="FFFFFF"/>
            <w:noWrap/>
            <w:vAlign w:val="center"/>
            <w:hideMark/>
          </w:tcPr>
          <w:p w:rsidR="00600F9C" w:rsidRDefault="00600F9C">
            <w:pPr>
              <w:jc w:val="center"/>
              <w:rPr>
                <w:rFonts w:ascii="Century Gothic" w:hAnsi="Century Gothic" w:cs="Calibri"/>
                <w:sz w:val="18"/>
                <w:szCs w:val="18"/>
                <w:lang w:eastAsia="es-CO"/>
              </w:rPr>
            </w:pPr>
            <w:r>
              <w:rPr>
                <w:rFonts w:ascii="Century Gothic" w:hAnsi="Century Gothic" w:cs="Calibri"/>
                <w:sz w:val="18"/>
                <w:szCs w:val="18"/>
                <w:lang w:eastAsia="es-CO"/>
              </w:rPr>
              <w:t>6</w:t>
            </w:r>
          </w:p>
        </w:tc>
        <w:tc>
          <w:tcPr>
            <w:tcW w:w="945" w:type="dxa"/>
            <w:tcBorders>
              <w:top w:val="single" w:sz="4" w:space="0" w:color="D9D9D9"/>
              <w:left w:val="single" w:sz="4" w:space="0" w:color="D9D9D9"/>
              <w:bottom w:val="single" w:sz="4" w:space="0" w:color="D9D9D9"/>
              <w:right w:val="single" w:sz="4" w:space="0" w:color="D9D9D9"/>
            </w:tcBorders>
            <w:shd w:val="clear" w:color="auto" w:fill="FFFFFF"/>
            <w:noWrap/>
            <w:vAlign w:val="center"/>
            <w:hideMark/>
          </w:tcPr>
          <w:p w:rsidR="00600F9C" w:rsidRDefault="00600F9C">
            <w:pPr>
              <w:jc w:val="center"/>
              <w:rPr>
                <w:rFonts w:ascii="Century Gothic" w:hAnsi="Century Gothic" w:cs="Calibri"/>
                <w:sz w:val="18"/>
                <w:szCs w:val="18"/>
                <w:lang w:eastAsia="es-CO"/>
              </w:rPr>
            </w:pPr>
            <w:r>
              <w:rPr>
                <w:rFonts w:ascii="Century Gothic" w:hAnsi="Century Gothic" w:cs="Calibri"/>
                <w:sz w:val="18"/>
                <w:szCs w:val="18"/>
                <w:lang w:eastAsia="es-CO"/>
              </w:rPr>
              <w:t>0</w:t>
            </w:r>
          </w:p>
        </w:tc>
        <w:tc>
          <w:tcPr>
            <w:tcW w:w="839" w:type="dxa"/>
            <w:tcBorders>
              <w:top w:val="single" w:sz="4" w:space="0" w:color="D9D9D9"/>
              <w:left w:val="single" w:sz="4" w:space="0" w:color="D9D9D9"/>
              <w:bottom w:val="single" w:sz="4" w:space="0" w:color="D9D9D9"/>
              <w:right w:val="single" w:sz="4" w:space="0" w:color="D9D9D9"/>
            </w:tcBorders>
            <w:shd w:val="clear" w:color="auto" w:fill="FFFFFF"/>
            <w:noWrap/>
            <w:vAlign w:val="center"/>
            <w:hideMark/>
          </w:tcPr>
          <w:p w:rsidR="00600F9C" w:rsidRDefault="00600F9C">
            <w:pPr>
              <w:jc w:val="center"/>
              <w:rPr>
                <w:rFonts w:ascii="Century Gothic" w:hAnsi="Century Gothic" w:cs="Calibri"/>
                <w:sz w:val="18"/>
                <w:szCs w:val="18"/>
                <w:lang w:eastAsia="es-CO"/>
              </w:rPr>
            </w:pPr>
            <w:r>
              <w:rPr>
                <w:rFonts w:ascii="Century Gothic" w:hAnsi="Century Gothic" w:cs="Calibri"/>
                <w:sz w:val="18"/>
                <w:szCs w:val="18"/>
                <w:lang w:eastAsia="es-CO"/>
              </w:rPr>
              <w:t>5</w:t>
            </w:r>
          </w:p>
        </w:tc>
        <w:tc>
          <w:tcPr>
            <w:tcW w:w="547" w:type="dxa"/>
            <w:tcBorders>
              <w:top w:val="single" w:sz="4" w:space="0" w:color="D9D9D9"/>
              <w:left w:val="single" w:sz="4" w:space="0" w:color="D9D9D9"/>
              <w:bottom w:val="single" w:sz="4" w:space="0" w:color="D9D9D9"/>
              <w:right w:val="single" w:sz="4" w:space="0" w:color="D9D9D9"/>
            </w:tcBorders>
            <w:shd w:val="clear" w:color="auto" w:fill="D0CECE"/>
            <w:vAlign w:val="center"/>
            <w:hideMark/>
          </w:tcPr>
          <w:p w:rsidR="00600F9C" w:rsidRDefault="00600F9C">
            <w:pPr>
              <w:jc w:val="center"/>
              <w:rPr>
                <w:rFonts w:ascii="Century Gothic" w:hAnsi="Century Gothic" w:cs="Calibri"/>
                <w:b/>
                <w:bCs/>
                <w:sz w:val="18"/>
                <w:szCs w:val="18"/>
                <w:lang w:eastAsia="es-CO"/>
              </w:rPr>
            </w:pPr>
            <w:r>
              <w:rPr>
                <w:rFonts w:ascii="Century Gothic" w:hAnsi="Century Gothic" w:cs="Calibri"/>
                <w:b/>
                <w:bCs/>
                <w:sz w:val="18"/>
                <w:szCs w:val="18"/>
                <w:lang w:eastAsia="es-CO"/>
              </w:rPr>
              <w:t>56</w:t>
            </w:r>
          </w:p>
        </w:tc>
        <w:tc>
          <w:tcPr>
            <w:tcW w:w="1249" w:type="dxa"/>
            <w:tcBorders>
              <w:top w:val="single" w:sz="4" w:space="0" w:color="D9D9D9"/>
              <w:left w:val="single" w:sz="4" w:space="0" w:color="D9D9D9"/>
              <w:bottom w:val="single" w:sz="4" w:space="0" w:color="D9D9D9"/>
              <w:right w:val="single" w:sz="4" w:space="0" w:color="auto"/>
            </w:tcBorders>
            <w:shd w:val="clear" w:color="auto" w:fill="C6E0B4"/>
            <w:noWrap/>
            <w:vAlign w:val="center"/>
            <w:hideMark/>
          </w:tcPr>
          <w:p w:rsidR="00600F9C" w:rsidRDefault="00600F9C">
            <w:pPr>
              <w:jc w:val="center"/>
              <w:rPr>
                <w:rFonts w:ascii="Century Gothic" w:hAnsi="Century Gothic" w:cs="Calibri"/>
                <w:b/>
                <w:bCs/>
                <w:sz w:val="18"/>
                <w:szCs w:val="18"/>
              </w:rPr>
            </w:pPr>
            <w:r>
              <w:rPr>
                <w:rFonts w:ascii="Century Gothic" w:hAnsi="Century Gothic" w:cs="Calibri"/>
                <w:b/>
                <w:bCs/>
                <w:sz w:val="18"/>
                <w:szCs w:val="18"/>
              </w:rPr>
              <w:t>68%</w:t>
            </w:r>
          </w:p>
        </w:tc>
      </w:tr>
      <w:tr w:rsidR="00600F9C" w:rsidTr="00600F9C">
        <w:trPr>
          <w:trHeight w:val="315"/>
        </w:trPr>
        <w:tc>
          <w:tcPr>
            <w:tcW w:w="3114" w:type="dxa"/>
            <w:tcBorders>
              <w:top w:val="single" w:sz="4" w:space="0" w:color="D9D9D9"/>
              <w:left w:val="single" w:sz="4" w:space="0" w:color="auto"/>
              <w:bottom w:val="single" w:sz="4" w:space="0" w:color="D9D9D9"/>
              <w:right w:val="single" w:sz="4" w:space="0" w:color="D9D9D9"/>
            </w:tcBorders>
            <w:shd w:val="clear" w:color="auto" w:fill="FFFFFF"/>
            <w:noWrap/>
            <w:vAlign w:val="center"/>
            <w:hideMark/>
          </w:tcPr>
          <w:p w:rsidR="00600F9C" w:rsidRDefault="00600F9C">
            <w:pPr>
              <w:rPr>
                <w:rFonts w:ascii="Century Gothic" w:hAnsi="Century Gothic" w:cs="Calibri"/>
                <w:sz w:val="18"/>
                <w:szCs w:val="18"/>
                <w:lang w:eastAsia="es-CO"/>
              </w:rPr>
            </w:pPr>
            <w:r>
              <w:rPr>
                <w:rFonts w:ascii="Century Gothic" w:hAnsi="Century Gothic" w:cs="Calibri"/>
                <w:sz w:val="18"/>
                <w:szCs w:val="18"/>
                <w:lang w:eastAsia="es-CO"/>
              </w:rPr>
              <w:t>Sistema Seguridad y Salud en el Trabajo</w:t>
            </w:r>
          </w:p>
        </w:tc>
        <w:tc>
          <w:tcPr>
            <w:tcW w:w="1307" w:type="dxa"/>
            <w:tcBorders>
              <w:top w:val="single" w:sz="4" w:space="0" w:color="D9D9D9"/>
              <w:left w:val="single" w:sz="4" w:space="0" w:color="D9D9D9"/>
              <w:bottom w:val="single" w:sz="4" w:space="0" w:color="D9D9D9"/>
              <w:right w:val="single" w:sz="4" w:space="0" w:color="D9D9D9"/>
            </w:tcBorders>
            <w:shd w:val="clear" w:color="auto" w:fill="FFFFFF"/>
            <w:noWrap/>
            <w:vAlign w:val="center"/>
            <w:hideMark/>
          </w:tcPr>
          <w:p w:rsidR="00600F9C" w:rsidRDefault="00600F9C">
            <w:pPr>
              <w:jc w:val="center"/>
              <w:rPr>
                <w:rFonts w:ascii="Century Gothic" w:hAnsi="Century Gothic" w:cs="Calibri"/>
                <w:sz w:val="18"/>
                <w:szCs w:val="18"/>
                <w:lang w:eastAsia="es-CO"/>
              </w:rPr>
            </w:pPr>
            <w:r>
              <w:rPr>
                <w:rFonts w:ascii="Century Gothic" w:hAnsi="Century Gothic" w:cs="Calibri"/>
                <w:sz w:val="18"/>
                <w:szCs w:val="18"/>
                <w:lang w:eastAsia="es-CO"/>
              </w:rPr>
              <w:t>19</w:t>
            </w:r>
          </w:p>
        </w:tc>
        <w:tc>
          <w:tcPr>
            <w:tcW w:w="961" w:type="dxa"/>
            <w:tcBorders>
              <w:top w:val="single" w:sz="4" w:space="0" w:color="D9D9D9"/>
              <w:left w:val="single" w:sz="4" w:space="0" w:color="D9D9D9"/>
              <w:bottom w:val="single" w:sz="4" w:space="0" w:color="D9D9D9"/>
              <w:right w:val="single" w:sz="4" w:space="0" w:color="D9D9D9"/>
            </w:tcBorders>
            <w:shd w:val="clear" w:color="auto" w:fill="FFFFFF"/>
            <w:noWrap/>
            <w:vAlign w:val="center"/>
            <w:hideMark/>
          </w:tcPr>
          <w:p w:rsidR="00600F9C" w:rsidRDefault="00600F9C">
            <w:pPr>
              <w:jc w:val="center"/>
              <w:rPr>
                <w:rFonts w:ascii="Century Gothic" w:hAnsi="Century Gothic" w:cs="Calibri"/>
                <w:sz w:val="18"/>
                <w:szCs w:val="18"/>
                <w:lang w:eastAsia="es-CO"/>
              </w:rPr>
            </w:pPr>
            <w:r>
              <w:rPr>
                <w:rFonts w:ascii="Century Gothic" w:hAnsi="Century Gothic" w:cs="Calibri"/>
                <w:sz w:val="18"/>
                <w:szCs w:val="18"/>
                <w:lang w:eastAsia="es-CO"/>
              </w:rPr>
              <w:t>1</w:t>
            </w:r>
          </w:p>
        </w:tc>
        <w:tc>
          <w:tcPr>
            <w:tcW w:w="1240" w:type="dxa"/>
            <w:tcBorders>
              <w:top w:val="single" w:sz="4" w:space="0" w:color="D9D9D9"/>
              <w:left w:val="single" w:sz="4" w:space="0" w:color="D9D9D9"/>
              <w:bottom w:val="single" w:sz="4" w:space="0" w:color="D9D9D9"/>
              <w:right w:val="single" w:sz="4" w:space="0" w:color="D9D9D9"/>
            </w:tcBorders>
            <w:shd w:val="clear" w:color="auto" w:fill="FFFFFF"/>
            <w:noWrap/>
            <w:vAlign w:val="center"/>
            <w:hideMark/>
          </w:tcPr>
          <w:p w:rsidR="00600F9C" w:rsidRDefault="00600F9C">
            <w:pPr>
              <w:jc w:val="center"/>
              <w:rPr>
                <w:rFonts w:ascii="Century Gothic" w:hAnsi="Century Gothic" w:cs="Calibri"/>
                <w:sz w:val="18"/>
                <w:szCs w:val="18"/>
                <w:lang w:eastAsia="es-CO"/>
              </w:rPr>
            </w:pPr>
            <w:r>
              <w:rPr>
                <w:rFonts w:ascii="Century Gothic" w:hAnsi="Century Gothic" w:cs="Calibri"/>
                <w:sz w:val="18"/>
                <w:szCs w:val="18"/>
                <w:lang w:eastAsia="es-CO"/>
              </w:rPr>
              <w:t>31</w:t>
            </w:r>
          </w:p>
        </w:tc>
        <w:tc>
          <w:tcPr>
            <w:tcW w:w="945" w:type="dxa"/>
            <w:tcBorders>
              <w:top w:val="single" w:sz="4" w:space="0" w:color="D9D9D9"/>
              <w:left w:val="single" w:sz="4" w:space="0" w:color="D9D9D9"/>
              <w:bottom w:val="single" w:sz="4" w:space="0" w:color="D9D9D9"/>
              <w:right w:val="single" w:sz="4" w:space="0" w:color="D9D9D9"/>
            </w:tcBorders>
            <w:shd w:val="clear" w:color="auto" w:fill="FFFFFF"/>
            <w:noWrap/>
            <w:vAlign w:val="center"/>
            <w:hideMark/>
          </w:tcPr>
          <w:p w:rsidR="00600F9C" w:rsidRDefault="00600F9C">
            <w:pPr>
              <w:jc w:val="center"/>
              <w:rPr>
                <w:rFonts w:ascii="Century Gothic" w:hAnsi="Century Gothic" w:cs="Calibri"/>
                <w:sz w:val="18"/>
                <w:szCs w:val="18"/>
                <w:lang w:eastAsia="es-CO"/>
              </w:rPr>
            </w:pPr>
            <w:r>
              <w:rPr>
                <w:rFonts w:ascii="Century Gothic" w:hAnsi="Century Gothic" w:cs="Calibri"/>
                <w:sz w:val="18"/>
                <w:szCs w:val="18"/>
                <w:lang w:eastAsia="es-CO"/>
              </w:rPr>
              <w:t>0</w:t>
            </w:r>
          </w:p>
        </w:tc>
        <w:tc>
          <w:tcPr>
            <w:tcW w:w="839" w:type="dxa"/>
            <w:tcBorders>
              <w:top w:val="single" w:sz="4" w:space="0" w:color="D9D9D9"/>
              <w:left w:val="single" w:sz="4" w:space="0" w:color="D9D9D9"/>
              <w:bottom w:val="single" w:sz="4" w:space="0" w:color="D9D9D9"/>
              <w:right w:val="single" w:sz="4" w:space="0" w:color="D9D9D9"/>
            </w:tcBorders>
            <w:shd w:val="clear" w:color="auto" w:fill="FFFFFF"/>
            <w:noWrap/>
            <w:vAlign w:val="center"/>
            <w:hideMark/>
          </w:tcPr>
          <w:p w:rsidR="00600F9C" w:rsidRDefault="00600F9C">
            <w:pPr>
              <w:jc w:val="center"/>
              <w:rPr>
                <w:rFonts w:ascii="Century Gothic" w:hAnsi="Century Gothic" w:cs="Calibri"/>
                <w:sz w:val="18"/>
                <w:szCs w:val="18"/>
                <w:lang w:eastAsia="es-CO"/>
              </w:rPr>
            </w:pPr>
            <w:r>
              <w:rPr>
                <w:rFonts w:ascii="Century Gothic" w:hAnsi="Century Gothic" w:cs="Calibri"/>
                <w:sz w:val="18"/>
                <w:szCs w:val="18"/>
                <w:lang w:eastAsia="es-CO"/>
              </w:rPr>
              <w:t>4</w:t>
            </w:r>
          </w:p>
        </w:tc>
        <w:tc>
          <w:tcPr>
            <w:tcW w:w="547" w:type="dxa"/>
            <w:tcBorders>
              <w:top w:val="single" w:sz="4" w:space="0" w:color="D9D9D9"/>
              <w:left w:val="single" w:sz="4" w:space="0" w:color="D9D9D9"/>
              <w:bottom w:val="single" w:sz="4" w:space="0" w:color="D9D9D9"/>
              <w:right w:val="single" w:sz="4" w:space="0" w:color="D9D9D9"/>
            </w:tcBorders>
            <w:shd w:val="clear" w:color="auto" w:fill="D0CECE"/>
            <w:vAlign w:val="center"/>
            <w:hideMark/>
          </w:tcPr>
          <w:p w:rsidR="00600F9C" w:rsidRDefault="00600F9C">
            <w:pPr>
              <w:jc w:val="center"/>
              <w:rPr>
                <w:rFonts w:ascii="Century Gothic" w:hAnsi="Century Gothic" w:cs="Calibri"/>
                <w:b/>
                <w:bCs/>
                <w:sz w:val="18"/>
                <w:szCs w:val="18"/>
                <w:lang w:eastAsia="es-CO"/>
              </w:rPr>
            </w:pPr>
            <w:r>
              <w:rPr>
                <w:rFonts w:ascii="Century Gothic" w:hAnsi="Century Gothic" w:cs="Calibri"/>
                <w:b/>
                <w:bCs/>
                <w:sz w:val="18"/>
                <w:szCs w:val="18"/>
                <w:lang w:eastAsia="es-CO"/>
              </w:rPr>
              <w:t>55</w:t>
            </w:r>
          </w:p>
        </w:tc>
        <w:tc>
          <w:tcPr>
            <w:tcW w:w="1249" w:type="dxa"/>
            <w:tcBorders>
              <w:top w:val="single" w:sz="4" w:space="0" w:color="D9D9D9"/>
              <w:left w:val="single" w:sz="4" w:space="0" w:color="D9D9D9"/>
              <w:bottom w:val="single" w:sz="4" w:space="0" w:color="D9D9D9"/>
              <w:right w:val="single" w:sz="4" w:space="0" w:color="auto"/>
            </w:tcBorders>
            <w:shd w:val="clear" w:color="auto" w:fill="C6E0B4"/>
            <w:noWrap/>
            <w:vAlign w:val="center"/>
            <w:hideMark/>
          </w:tcPr>
          <w:p w:rsidR="00600F9C" w:rsidRDefault="00600F9C">
            <w:pPr>
              <w:jc w:val="center"/>
              <w:rPr>
                <w:rFonts w:ascii="Century Gothic" w:hAnsi="Century Gothic" w:cs="Calibri"/>
                <w:b/>
                <w:bCs/>
                <w:sz w:val="18"/>
                <w:szCs w:val="18"/>
              </w:rPr>
            </w:pPr>
            <w:r>
              <w:rPr>
                <w:rFonts w:ascii="Century Gothic" w:hAnsi="Century Gothic" w:cs="Calibri"/>
                <w:b/>
                <w:bCs/>
                <w:sz w:val="18"/>
                <w:szCs w:val="18"/>
              </w:rPr>
              <w:t>35%</w:t>
            </w:r>
          </w:p>
        </w:tc>
      </w:tr>
      <w:tr w:rsidR="00600F9C" w:rsidTr="00600F9C">
        <w:trPr>
          <w:trHeight w:val="315"/>
        </w:trPr>
        <w:tc>
          <w:tcPr>
            <w:tcW w:w="3114" w:type="dxa"/>
            <w:tcBorders>
              <w:top w:val="single" w:sz="4" w:space="0" w:color="D9D9D9"/>
              <w:left w:val="single" w:sz="4" w:space="0" w:color="auto"/>
              <w:bottom w:val="single" w:sz="4" w:space="0" w:color="D9D9D9"/>
              <w:right w:val="single" w:sz="4" w:space="0" w:color="D9D9D9"/>
            </w:tcBorders>
            <w:shd w:val="clear" w:color="auto" w:fill="FFFFFF"/>
            <w:noWrap/>
            <w:vAlign w:val="center"/>
            <w:hideMark/>
          </w:tcPr>
          <w:p w:rsidR="00600F9C" w:rsidRDefault="00600F9C">
            <w:pPr>
              <w:rPr>
                <w:rFonts w:ascii="Century Gothic" w:hAnsi="Century Gothic" w:cs="Calibri"/>
                <w:sz w:val="18"/>
                <w:szCs w:val="18"/>
                <w:lang w:eastAsia="es-CO"/>
              </w:rPr>
            </w:pPr>
            <w:r>
              <w:rPr>
                <w:rFonts w:ascii="Century Gothic" w:hAnsi="Century Gothic" w:cs="Calibri"/>
                <w:sz w:val="18"/>
                <w:szCs w:val="18"/>
                <w:lang w:eastAsia="es-CO"/>
              </w:rPr>
              <w:t>Sistema de Gestión de Seguridad de la Información</w:t>
            </w:r>
          </w:p>
        </w:tc>
        <w:tc>
          <w:tcPr>
            <w:tcW w:w="1307" w:type="dxa"/>
            <w:tcBorders>
              <w:top w:val="single" w:sz="4" w:space="0" w:color="D9D9D9"/>
              <w:left w:val="single" w:sz="4" w:space="0" w:color="D9D9D9"/>
              <w:bottom w:val="single" w:sz="4" w:space="0" w:color="D9D9D9"/>
              <w:right w:val="single" w:sz="4" w:space="0" w:color="D9D9D9"/>
            </w:tcBorders>
            <w:shd w:val="clear" w:color="auto" w:fill="FFFFFF"/>
            <w:noWrap/>
            <w:vAlign w:val="center"/>
            <w:hideMark/>
          </w:tcPr>
          <w:p w:rsidR="00600F9C" w:rsidRDefault="00600F9C">
            <w:pPr>
              <w:jc w:val="center"/>
              <w:rPr>
                <w:rFonts w:ascii="Century Gothic" w:hAnsi="Century Gothic" w:cs="Calibri"/>
                <w:sz w:val="18"/>
                <w:szCs w:val="18"/>
                <w:lang w:eastAsia="es-CO"/>
              </w:rPr>
            </w:pPr>
            <w:r>
              <w:rPr>
                <w:rFonts w:ascii="Century Gothic" w:hAnsi="Century Gothic" w:cs="Calibri"/>
                <w:sz w:val="18"/>
                <w:szCs w:val="18"/>
                <w:lang w:eastAsia="es-CO"/>
              </w:rPr>
              <w:t>4</w:t>
            </w:r>
          </w:p>
        </w:tc>
        <w:tc>
          <w:tcPr>
            <w:tcW w:w="961" w:type="dxa"/>
            <w:tcBorders>
              <w:top w:val="single" w:sz="4" w:space="0" w:color="D9D9D9"/>
              <w:left w:val="single" w:sz="4" w:space="0" w:color="D9D9D9"/>
              <w:bottom w:val="single" w:sz="4" w:space="0" w:color="D9D9D9"/>
              <w:right w:val="single" w:sz="4" w:space="0" w:color="D9D9D9"/>
            </w:tcBorders>
            <w:shd w:val="clear" w:color="auto" w:fill="FFFFFF"/>
            <w:noWrap/>
            <w:vAlign w:val="center"/>
            <w:hideMark/>
          </w:tcPr>
          <w:p w:rsidR="00600F9C" w:rsidRDefault="00600F9C">
            <w:pPr>
              <w:jc w:val="center"/>
              <w:rPr>
                <w:rFonts w:ascii="Century Gothic" w:hAnsi="Century Gothic" w:cs="Calibri"/>
                <w:sz w:val="18"/>
                <w:szCs w:val="18"/>
                <w:lang w:eastAsia="es-CO"/>
              </w:rPr>
            </w:pPr>
            <w:r>
              <w:rPr>
                <w:rFonts w:ascii="Century Gothic" w:hAnsi="Century Gothic" w:cs="Calibri"/>
                <w:sz w:val="18"/>
                <w:szCs w:val="18"/>
                <w:lang w:eastAsia="es-CO"/>
              </w:rPr>
              <w:t>0</w:t>
            </w:r>
          </w:p>
        </w:tc>
        <w:tc>
          <w:tcPr>
            <w:tcW w:w="1240" w:type="dxa"/>
            <w:tcBorders>
              <w:top w:val="single" w:sz="4" w:space="0" w:color="D9D9D9"/>
              <w:left w:val="single" w:sz="4" w:space="0" w:color="D9D9D9"/>
              <w:bottom w:val="single" w:sz="4" w:space="0" w:color="D9D9D9"/>
              <w:right w:val="single" w:sz="4" w:space="0" w:color="D9D9D9"/>
            </w:tcBorders>
            <w:shd w:val="clear" w:color="auto" w:fill="FFFFFF"/>
            <w:noWrap/>
            <w:vAlign w:val="center"/>
            <w:hideMark/>
          </w:tcPr>
          <w:p w:rsidR="00600F9C" w:rsidRDefault="00600F9C">
            <w:pPr>
              <w:jc w:val="center"/>
              <w:rPr>
                <w:rFonts w:ascii="Century Gothic" w:hAnsi="Century Gothic" w:cs="Calibri"/>
                <w:sz w:val="18"/>
                <w:szCs w:val="18"/>
                <w:lang w:eastAsia="es-CO"/>
              </w:rPr>
            </w:pPr>
            <w:r>
              <w:rPr>
                <w:rFonts w:ascii="Century Gothic" w:hAnsi="Century Gothic" w:cs="Calibri"/>
                <w:sz w:val="18"/>
                <w:szCs w:val="18"/>
                <w:lang w:eastAsia="es-CO"/>
              </w:rPr>
              <w:t>2</w:t>
            </w:r>
          </w:p>
        </w:tc>
        <w:tc>
          <w:tcPr>
            <w:tcW w:w="945" w:type="dxa"/>
            <w:tcBorders>
              <w:top w:val="single" w:sz="4" w:space="0" w:color="D9D9D9"/>
              <w:left w:val="single" w:sz="4" w:space="0" w:color="D9D9D9"/>
              <w:bottom w:val="single" w:sz="4" w:space="0" w:color="D9D9D9"/>
              <w:right w:val="single" w:sz="4" w:space="0" w:color="D9D9D9"/>
            </w:tcBorders>
            <w:shd w:val="clear" w:color="auto" w:fill="FFFFFF"/>
            <w:noWrap/>
            <w:vAlign w:val="center"/>
            <w:hideMark/>
          </w:tcPr>
          <w:p w:rsidR="00600F9C" w:rsidRDefault="00600F9C">
            <w:pPr>
              <w:jc w:val="center"/>
              <w:rPr>
                <w:rFonts w:ascii="Century Gothic" w:hAnsi="Century Gothic" w:cs="Calibri"/>
                <w:sz w:val="18"/>
                <w:szCs w:val="18"/>
                <w:lang w:eastAsia="es-CO"/>
              </w:rPr>
            </w:pPr>
            <w:r>
              <w:rPr>
                <w:rFonts w:ascii="Century Gothic" w:hAnsi="Century Gothic" w:cs="Calibri"/>
                <w:sz w:val="18"/>
                <w:szCs w:val="18"/>
                <w:lang w:eastAsia="es-CO"/>
              </w:rPr>
              <w:t>0</w:t>
            </w:r>
          </w:p>
        </w:tc>
        <w:tc>
          <w:tcPr>
            <w:tcW w:w="839" w:type="dxa"/>
            <w:tcBorders>
              <w:top w:val="single" w:sz="4" w:space="0" w:color="D9D9D9"/>
              <w:left w:val="single" w:sz="4" w:space="0" w:color="D9D9D9"/>
              <w:bottom w:val="single" w:sz="4" w:space="0" w:color="D9D9D9"/>
              <w:right w:val="single" w:sz="4" w:space="0" w:color="D9D9D9"/>
            </w:tcBorders>
            <w:shd w:val="clear" w:color="auto" w:fill="FFFFFF"/>
            <w:noWrap/>
            <w:vAlign w:val="center"/>
            <w:hideMark/>
          </w:tcPr>
          <w:p w:rsidR="00600F9C" w:rsidRDefault="00600F9C">
            <w:pPr>
              <w:jc w:val="center"/>
              <w:rPr>
                <w:rFonts w:ascii="Century Gothic" w:hAnsi="Century Gothic" w:cs="Calibri"/>
                <w:sz w:val="18"/>
                <w:szCs w:val="18"/>
                <w:lang w:eastAsia="es-CO"/>
              </w:rPr>
            </w:pPr>
            <w:r>
              <w:rPr>
                <w:rFonts w:ascii="Century Gothic" w:hAnsi="Century Gothic" w:cs="Calibri"/>
                <w:sz w:val="18"/>
                <w:szCs w:val="18"/>
                <w:lang w:eastAsia="es-CO"/>
              </w:rPr>
              <w:t>1</w:t>
            </w:r>
          </w:p>
        </w:tc>
        <w:tc>
          <w:tcPr>
            <w:tcW w:w="547" w:type="dxa"/>
            <w:tcBorders>
              <w:top w:val="single" w:sz="4" w:space="0" w:color="D9D9D9"/>
              <w:left w:val="single" w:sz="4" w:space="0" w:color="D9D9D9"/>
              <w:bottom w:val="single" w:sz="4" w:space="0" w:color="D9D9D9"/>
              <w:right w:val="single" w:sz="4" w:space="0" w:color="D9D9D9"/>
            </w:tcBorders>
            <w:shd w:val="clear" w:color="auto" w:fill="D0CECE"/>
            <w:vAlign w:val="center"/>
            <w:hideMark/>
          </w:tcPr>
          <w:p w:rsidR="00600F9C" w:rsidRDefault="00600F9C">
            <w:pPr>
              <w:jc w:val="center"/>
              <w:rPr>
                <w:rFonts w:ascii="Century Gothic" w:hAnsi="Century Gothic" w:cs="Calibri"/>
                <w:b/>
                <w:bCs/>
                <w:sz w:val="18"/>
                <w:szCs w:val="18"/>
                <w:lang w:eastAsia="es-CO"/>
              </w:rPr>
            </w:pPr>
            <w:r>
              <w:rPr>
                <w:rFonts w:ascii="Century Gothic" w:hAnsi="Century Gothic" w:cs="Calibri"/>
                <w:b/>
                <w:bCs/>
                <w:sz w:val="18"/>
                <w:szCs w:val="18"/>
                <w:lang w:eastAsia="es-CO"/>
              </w:rPr>
              <w:t>7</w:t>
            </w:r>
          </w:p>
        </w:tc>
        <w:tc>
          <w:tcPr>
            <w:tcW w:w="1249" w:type="dxa"/>
            <w:tcBorders>
              <w:top w:val="single" w:sz="4" w:space="0" w:color="D9D9D9"/>
              <w:left w:val="single" w:sz="4" w:space="0" w:color="D9D9D9"/>
              <w:bottom w:val="single" w:sz="4" w:space="0" w:color="D9D9D9"/>
              <w:right w:val="single" w:sz="4" w:space="0" w:color="auto"/>
            </w:tcBorders>
            <w:shd w:val="clear" w:color="auto" w:fill="C6E0B4"/>
            <w:noWrap/>
            <w:vAlign w:val="center"/>
            <w:hideMark/>
          </w:tcPr>
          <w:p w:rsidR="00600F9C" w:rsidRDefault="00600F9C">
            <w:pPr>
              <w:jc w:val="center"/>
              <w:rPr>
                <w:rFonts w:ascii="Century Gothic" w:hAnsi="Century Gothic" w:cs="Calibri"/>
                <w:b/>
                <w:bCs/>
                <w:sz w:val="18"/>
                <w:szCs w:val="18"/>
              </w:rPr>
            </w:pPr>
            <w:r>
              <w:rPr>
                <w:rFonts w:ascii="Century Gothic" w:hAnsi="Century Gothic" w:cs="Calibri"/>
                <w:b/>
                <w:bCs/>
                <w:sz w:val="18"/>
                <w:szCs w:val="18"/>
              </w:rPr>
              <w:t>57%</w:t>
            </w:r>
          </w:p>
        </w:tc>
      </w:tr>
      <w:tr w:rsidR="00600F9C" w:rsidTr="00600F9C">
        <w:trPr>
          <w:trHeight w:val="315"/>
        </w:trPr>
        <w:tc>
          <w:tcPr>
            <w:tcW w:w="3114" w:type="dxa"/>
            <w:tcBorders>
              <w:top w:val="single" w:sz="4" w:space="0" w:color="D9D9D9"/>
              <w:left w:val="single" w:sz="4" w:space="0" w:color="auto"/>
              <w:bottom w:val="single" w:sz="4" w:space="0" w:color="D9D9D9"/>
              <w:right w:val="single" w:sz="4" w:space="0" w:color="D9D9D9"/>
            </w:tcBorders>
            <w:shd w:val="clear" w:color="auto" w:fill="FFFFFF"/>
            <w:noWrap/>
            <w:vAlign w:val="center"/>
            <w:hideMark/>
          </w:tcPr>
          <w:p w:rsidR="00600F9C" w:rsidRDefault="00600F9C">
            <w:pPr>
              <w:rPr>
                <w:rFonts w:ascii="Century Gothic" w:hAnsi="Century Gothic" w:cs="Calibri"/>
                <w:sz w:val="18"/>
                <w:szCs w:val="18"/>
                <w:lang w:eastAsia="es-CO"/>
              </w:rPr>
            </w:pPr>
            <w:r>
              <w:rPr>
                <w:rFonts w:ascii="Century Gothic" w:hAnsi="Century Gothic" w:cs="Calibri"/>
                <w:sz w:val="18"/>
                <w:szCs w:val="18"/>
                <w:lang w:eastAsia="es-CO"/>
              </w:rPr>
              <w:t>Sistema de Gestión Ambiental</w:t>
            </w:r>
          </w:p>
        </w:tc>
        <w:tc>
          <w:tcPr>
            <w:tcW w:w="1307" w:type="dxa"/>
            <w:tcBorders>
              <w:top w:val="single" w:sz="4" w:space="0" w:color="D9D9D9"/>
              <w:left w:val="single" w:sz="4" w:space="0" w:color="D9D9D9"/>
              <w:bottom w:val="single" w:sz="4" w:space="0" w:color="D9D9D9"/>
              <w:right w:val="single" w:sz="4" w:space="0" w:color="D9D9D9"/>
            </w:tcBorders>
            <w:shd w:val="clear" w:color="auto" w:fill="FFFFFF"/>
            <w:noWrap/>
            <w:vAlign w:val="center"/>
            <w:hideMark/>
          </w:tcPr>
          <w:p w:rsidR="00600F9C" w:rsidRDefault="00600F9C">
            <w:pPr>
              <w:jc w:val="center"/>
              <w:rPr>
                <w:rFonts w:ascii="Century Gothic" w:hAnsi="Century Gothic" w:cs="Calibri"/>
                <w:sz w:val="18"/>
                <w:szCs w:val="18"/>
                <w:lang w:eastAsia="es-CO"/>
              </w:rPr>
            </w:pPr>
            <w:r>
              <w:rPr>
                <w:rFonts w:ascii="Century Gothic" w:hAnsi="Century Gothic" w:cs="Calibri"/>
                <w:sz w:val="18"/>
                <w:szCs w:val="18"/>
                <w:lang w:eastAsia="es-CO"/>
              </w:rPr>
              <w:t>0</w:t>
            </w:r>
          </w:p>
        </w:tc>
        <w:tc>
          <w:tcPr>
            <w:tcW w:w="961" w:type="dxa"/>
            <w:tcBorders>
              <w:top w:val="single" w:sz="4" w:space="0" w:color="D9D9D9"/>
              <w:left w:val="single" w:sz="4" w:space="0" w:color="D9D9D9"/>
              <w:bottom w:val="single" w:sz="4" w:space="0" w:color="D9D9D9"/>
              <w:right w:val="single" w:sz="4" w:space="0" w:color="D9D9D9"/>
            </w:tcBorders>
            <w:shd w:val="clear" w:color="auto" w:fill="FFFFFF"/>
            <w:noWrap/>
            <w:vAlign w:val="center"/>
            <w:hideMark/>
          </w:tcPr>
          <w:p w:rsidR="00600F9C" w:rsidRDefault="00600F9C">
            <w:pPr>
              <w:jc w:val="center"/>
              <w:rPr>
                <w:rFonts w:ascii="Century Gothic" w:hAnsi="Century Gothic" w:cs="Calibri"/>
                <w:sz w:val="18"/>
                <w:szCs w:val="18"/>
                <w:lang w:eastAsia="es-CO"/>
              </w:rPr>
            </w:pPr>
            <w:r>
              <w:rPr>
                <w:rFonts w:ascii="Century Gothic" w:hAnsi="Century Gothic" w:cs="Calibri"/>
                <w:sz w:val="18"/>
                <w:szCs w:val="18"/>
                <w:lang w:eastAsia="es-CO"/>
              </w:rPr>
              <w:t>0</w:t>
            </w:r>
          </w:p>
        </w:tc>
        <w:tc>
          <w:tcPr>
            <w:tcW w:w="1240" w:type="dxa"/>
            <w:tcBorders>
              <w:top w:val="single" w:sz="4" w:space="0" w:color="D9D9D9"/>
              <w:left w:val="single" w:sz="4" w:space="0" w:color="D9D9D9"/>
              <w:bottom w:val="single" w:sz="4" w:space="0" w:color="D9D9D9"/>
              <w:right w:val="single" w:sz="4" w:space="0" w:color="D9D9D9"/>
            </w:tcBorders>
            <w:shd w:val="clear" w:color="auto" w:fill="FFFFFF"/>
            <w:noWrap/>
            <w:vAlign w:val="center"/>
            <w:hideMark/>
          </w:tcPr>
          <w:p w:rsidR="00600F9C" w:rsidRDefault="00600F9C">
            <w:pPr>
              <w:jc w:val="center"/>
              <w:rPr>
                <w:rFonts w:ascii="Century Gothic" w:hAnsi="Century Gothic" w:cs="Calibri"/>
                <w:sz w:val="18"/>
                <w:szCs w:val="18"/>
                <w:lang w:eastAsia="es-CO"/>
              </w:rPr>
            </w:pPr>
            <w:r>
              <w:rPr>
                <w:rFonts w:ascii="Century Gothic" w:hAnsi="Century Gothic" w:cs="Calibri"/>
                <w:sz w:val="18"/>
                <w:szCs w:val="18"/>
                <w:lang w:eastAsia="es-CO"/>
              </w:rPr>
              <w:t>23</w:t>
            </w:r>
          </w:p>
        </w:tc>
        <w:tc>
          <w:tcPr>
            <w:tcW w:w="945" w:type="dxa"/>
            <w:tcBorders>
              <w:top w:val="single" w:sz="4" w:space="0" w:color="D9D9D9"/>
              <w:left w:val="single" w:sz="4" w:space="0" w:color="D9D9D9"/>
              <w:bottom w:val="single" w:sz="4" w:space="0" w:color="D9D9D9"/>
              <w:right w:val="single" w:sz="4" w:space="0" w:color="D9D9D9"/>
            </w:tcBorders>
            <w:shd w:val="clear" w:color="auto" w:fill="FFFFFF"/>
            <w:noWrap/>
            <w:vAlign w:val="center"/>
            <w:hideMark/>
          </w:tcPr>
          <w:p w:rsidR="00600F9C" w:rsidRDefault="00600F9C">
            <w:pPr>
              <w:jc w:val="center"/>
              <w:rPr>
                <w:rFonts w:ascii="Century Gothic" w:hAnsi="Century Gothic" w:cs="Calibri"/>
                <w:sz w:val="18"/>
                <w:szCs w:val="18"/>
                <w:lang w:eastAsia="es-CO"/>
              </w:rPr>
            </w:pPr>
            <w:r>
              <w:rPr>
                <w:rFonts w:ascii="Century Gothic" w:hAnsi="Century Gothic" w:cs="Calibri"/>
                <w:sz w:val="18"/>
                <w:szCs w:val="18"/>
                <w:lang w:eastAsia="es-CO"/>
              </w:rPr>
              <w:t>0</w:t>
            </w:r>
          </w:p>
        </w:tc>
        <w:tc>
          <w:tcPr>
            <w:tcW w:w="839" w:type="dxa"/>
            <w:tcBorders>
              <w:top w:val="single" w:sz="4" w:space="0" w:color="D9D9D9"/>
              <w:left w:val="single" w:sz="4" w:space="0" w:color="D9D9D9"/>
              <w:bottom w:val="single" w:sz="4" w:space="0" w:color="D9D9D9"/>
              <w:right w:val="single" w:sz="4" w:space="0" w:color="D9D9D9"/>
            </w:tcBorders>
            <w:shd w:val="clear" w:color="auto" w:fill="FFFFFF"/>
            <w:noWrap/>
            <w:vAlign w:val="center"/>
            <w:hideMark/>
          </w:tcPr>
          <w:p w:rsidR="00600F9C" w:rsidRDefault="00600F9C">
            <w:pPr>
              <w:jc w:val="center"/>
              <w:rPr>
                <w:rFonts w:ascii="Century Gothic" w:hAnsi="Century Gothic" w:cs="Calibri"/>
                <w:sz w:val="18"/>
                <w:szCs w:val="18"/>
                <w:lang w:eastAsia="es-CO"/>
              </w:rPr>
            </w:pPr>
            <w:r>
              <w:rPr>
                <w:rFonts w:ascii="Century Gothic" w:hAnsi="Century Gothic" w:cs="Calibri"/>
                <w:sz w:val="18"/>
                <w:szCs w:val="18"/>
                <w:lang w:eastAsia="es-CO"/>
              </w:rPr>
              <w:t>0</w:t>
            </w:r>
          </w:p>
        </w:tc>
        <w:tc>
          <w:tcPr>
            <w:tcW w:w="547" w:type="dxa"/>
            <w:tcBorders>
              <w:top w:val="single" w:sz="4" w:space="0" w:color="D9D9D9"/>
              <w:left w:val="single" w:sz="4" w:space="0" w:color="D9D9D9"/>
              <w:bottom w:val="single" w:sz="4" w:space="0" w:color="D9D9D9"/>
              <w:right w:val="single" w:sz="4" w:space="0" w:color="D9D9D9"/>
            </w:tcBorders>
            <w:shd w:val="clear" w:color="auto" w:fill="D0CECE"/>
            <w:vAlign w:val="center"/>
            <w:hideMark/>
          </w:tcPr>
          <w:p w:rsidR="00600F9C" w:rsidRDefault="00600F9C">
            <w:pPr>
              <w:jc w:val="center"/>
              <w:rPr>
                <w:rFonts w:ascii="Century Gothic" w:hAnsi="Century Gothic" w:cs="Calibri"/>
                <w:b/>
                <w:bCs/>
                <w:sz w:val="18"/>
                <w:szCs w:val="18"/>
                <w:lang w:eastAsia="es-CO"/>
              </w:rPr>
            </w:pPr>
            <w:r>
              <w:rPr>
                <w:rFonts w:ascii="Century Gothic" w:hAnsi="Century Gothic" w:cs="Calibri"/>
                <w:b/>
                <w:bCs/>
                <w:sz w:val="18"/>
                <w:szCs w:val="18"/>
                <w:lang w:eastAsia="es-CO"/>
              </w:rPr>
              <w:t>23</w:t>
            </w:r>
          </w:p>
        </w:tc>
        <w:tc>
          <w:tcPr>
            <w:tcW w:w="1249" w:type="dxa"/>
            <w:tcBorders>
              <w:top w:val="single" w:sz="4" w:space="0" w:color="D9D9D9"/>
              <w:left w:val="single" w:sz="4" w:space="0" w:color="D9D9D9"/>
              <w:bottom w:val="single" w:sz="4" w:space="0" w:color="D9D9D9"/>
              <w:right w:val="single" w:sz="4" w:space="0" w:color="auto"/>
            </w:tcBorders>
            <w:shd w:val="clear" w:color="auto" w:fill="C6E0B4"/>
            <w:noWrap/>
            <w:vAlign w:val="center"/>
            <w:hideMark/>
          </w:tcPr>
          <w:p w:rsidR="00600F9C" w:rsidRDefault="00600F9C">
            <w:pPr>
              <w:jc w:val="center"/>
              <w:rPr>
                <w:rFonts w:ascii="Century Gothic" w:hAnsi="Century Gothic" w:cs="Calibri"/>
                <w:b/>
                <w:bCs/>
                <w:sz w:val="18"/>
                <w:szCs w:val="18"/>
              </w:rPr>
            </w:pPr>
            <w:r>
              <w:rPr>
                <w:rFonts w:ascii="Century Gothic" w:hAnsi="Century Gothic" w:cs="Calibri"/>
                <w:b/>
                <w:bCs/>
                <w:sz w:val="18"/>
                <w:szCs w:val="18"/>
              </w:rPr>
              <w:t>0%</w:t>
            </w:r>
          </w:p>
        </w:tc>
      </w:tr>
      <w:tr w:rsidR="00600F9C" w:rsidTr="00600F9C">
        <w:trPr>
          <w:trHeight w:val="315"/>
        </w:trPr>
        <w:tc>
          <w:tcPr>
            <w:tcW w:w="3114" w:type="dxa"/>
            <w:tcBorders>
              <w:top w:val="single" w:sz="4" w:space="0" w:color="D9D9D9"/>
              <w:left w:val="single" w:sz="4" w:space="0" w:color="auto"/>
              <w:bottom w:val="single" w:sz="4" w:space="0" w:color="D9D9D9"/>
              <w:right w:val="single" w:sz="4" w:space="0" w:color="D9D9D9"/>
            </w:tcBorders>
            <w:shd w:val="clear" w:color="auto" w:fill="FFFFFF"/>
            <w:noWrap/>
            <w:vAlign w:val="center"/>
            <w:hideMark/>
          </w:tcPr>
          <w:p w:rsidR="00600F9C" w:rsidRDefault="00600F9C">
            <w:pPr>
              <w:rPr>
                <w:rFonts w:ascii="Century Gothic" w:hAnsi="Century Gothic" w:cs="Calibri"/>
                <w:sz w:val="18"/>
                <w:szCs w:val="18"/>
                <w:lang w:eastAsia="es-CO"/>
              </w:rPr>
            </w:pPr>
            <w:r>
              <w:rPr>
                <w:rFonts w:ascii="Century Gothic" w:hAnsi="Century Gothic" w:cs="Calibri"/>
                <w:sz w:val="18"/>
                <w:szCs w:val="18"/>
                <w:lang w:eastAsia="es-CO"/>
              </w:rPr>
              <w:t>Sistema de Gestión Documental y Archivo</w:t>
            </w:r>
          </w:p>
        </w:tc>
        <w:tc>
          <w:tcPr>
            <w:tcW w:w="1307" w:type="dxa"/>
            <w:tcBorders>
              <w:top w:val="single" w:sz="4" w:space="0" w:color="D9D9D9"/>
              <w:left w:val="single" w:sz="4" w:space="0" w:color="D9D9D9"/>
              <w:bottom w:val="single" w:sz="4" w:space="0" w:color="D9D9D9"/>
              <w:right w:val="single" w:sz="4" w:space="0" w:color="D9D9D9"/>
            </w:tcBorders>
            <w:shd w:val="clear" w:color="auto" w:fill="FFFFFF"/>
            <w:noWrap/>
            <w:vAlign w:val="center"/>
            <w:hideMark/>
          </w:tcPr>
          <w:p w:rsidR="00600F9C" w:rsidRDefault="00600F9C">
            <w:pPr>
              <w:jc w:val="center"/>
              <w:rPr>
                <w:rFonts w:ascii="Century Gothic" w:hAnsi="Century Gothic" w:cs="Calibri"/>
                <w:sz w:val="18"/>
                <w:szCs w:val="18"/>
                <w:lang w:eastAsia="es-CO"/>
              </w:rPr>
            </w:pPr>
            <w:r>
              <w:rPr>
                <w:rFonts w:ascii="Century Gothic" w:hAnsi="Century Gothic" w:cs="Calibri"/>
                <w:sz w:val="18"/>
                <w:szCs w:val="18"/>
                <w:lang w:eastAsia="es-CO"/>
              </w:rPr>
              <w:t>5</w:t>
            </w:r>
          </w:p>
        </w:tc>
        <w:tc>
          <w:tcPr>
            <w:tcW w:w="961" w:type="dxa"/>
            <w:tcBorders>
              <w:top w:val="single" w:sz="4" w:space="0" w:color="D9D9D9"/>
              <w:left w:val="single" w:sz="4" w:space="0" w:color="D9D9D9"/>
              <w:bottom w:val="single" w:sz="4" w:space="0" w:color="D9D9D9"/>
              <w:right w:val="single" w:sz="4" w:space="0" w:color="D9D9D9"/>
            </w:tcBorders>
            <w:shd w:val="clear" w:color="auto" w:fill="FFFFFF"/>
            <w:noWrap/>
            <w:vAlign w:val="center"/>
            <w:hideMark/>
          </w:tcPr>
          <w:p w:rsidR="00600F9C" w:rsidRDefault="00600F9C">
            <w:pPr>
              <w:jc w:val="center"/>
              <w:rPr>
                <w:rFonts w:ascii="Century Gothic" w:hAnsi="Century Gothic" w:cs="Calibri"/>
                <w:sz w:val="18"/>
                <w:szCs w:val="18"/>
                <w:lang w:eastAsia="es-CO"/>
              </w:rPr>
            </w:pPr>
            <w:r>
              <w:rPr>
                <w:rFonts w:ascii="Century Gothic" w:hAnsi="Century Gothic" w:cs="Calibri"/>
                <w:sz w:val="18"/>
                <w:szCs w:val="18"/>
                <w:lang w:eastAsia="es-CO"/>
              </w:rPr>
              <w:t>0</w:t>
            </w:r>
          </w:p>
        </w:tc>
        <w:tc>
          <w:tcPr>
            <w:tcW w:w="1240" w:type="dxa"/>
            <w:tcBorders>
              <w:top w:val="single" w:sz="4" w:space="0" w:color="D9D9D9"/>
              <w:left w:val="single" w:sz="4" w:space="0" w:color="D9D9D9"/>
              <w:bottom w:val="single" w:sz="4" w:space="0" w:color="D9D9D9"/>
              <w:right w:val="single" w:sz="4" w:space="0" w:color="D9D9D9"/>
            </w:tcBorders>
            <w:shd w:val="clear" w:color="auto" w:fill="FFFFFF"/>
            <w:noWrap/>
            <w:vAlign w:val="center"/>
            <w:hideMark/>
          </w:tcPr>
          <w:p w:rsidR="00600F9C" w:rsidRDefault="00600F9C">
            <w:pPr>
              <w:jc w:val="center"/>
              <w:rPr>
                <w:rFonts w:ascii="Century Gothic" w:hAnsi="Century Gothic" w:cs="Calibri"/>
                <w:sz w:val="18"/>
                <w:szCs w:val="18"/>
                <w:lang w:eastAsia="es-CO"/>
              </w:rPr>
            </w:pPr>
            <w:r>
              <w:rPr>
                <w:rFonts w:ascii="Century Gothic" w:hAnsi="Century Gothic" w:cs="Calibri"/>
                <w:sz w:val="18"/>
                <w:szCs w:val="18"/>
                <w:lang w:eastAsia="es-CO"/>
              </w:rPr>
              <w:t>10</w:t>
            </w:r>
          </w:p>
        </w:tc>
        <w:tc>
          <w:tcPr>
            <w:tcW w:w="945" w:type="dxa"/>
            <w:tcBorders>
              <w:top w:val="single" w:sz="4" w:space="0" w:color="D9D9D9"/>
              <w:left w:val="single" w:sz="4" w:space="0" w:color="D9D9D9"/>
              <w:bottom w:val="single" w:sz="4" w:space="0" w:color="D9D9D9"/>
              <w:right w:val="single" w:sz="4" w:space="0" w:color="D9D9D9"/>
            </w:tcBorders>
            <w:shd w:val="clear" w:color="auto" w:fill="FFFFFF"/>
            <w:noWrap/>
            <w:vAlign w:val="center"/>
            <w:hideMark/>
          </w:tcPr>
          <w:p w:rsidR="00600F9C" w:rsidRDefault="00600F9C">
            <w:pPr>
              <w:jc w:val="center"/>
              <w:rPr>
                <w:rFonts w:ascii="Century Gothic" w:hAnsi="Century Gothic" w:cs="Calibri"/>
                <w:sz w:val="18"/>
                <w:szCs w:val="18"/>
                <w:lang w:eastAsia="es-CO"/>
              </w:rPr>
            </w:pPr>
            <w:r>
              <w:rPr>
                <w:rFonts w:ascii="Century Gothic" w:hAnsi="Century Gothic" w:cs="Calibri"/>
                <w:sz w:val="18"/>
                <w:szCs w:val="18"/>
                <w:lang w:eastAsia="es-CO"/>
              </w:rPr>
              <w:t>2</w:t>
            </w:r>
          </w:p>
        </w:tc>
        <w:tc>
          <w:tcPr>
            <w:tcW w:w="839" w:type="dxa"/>
            <w:tcBorders>
              <w:top w:val="single" w:sz="4" w:space="0" w:color="D9D9D9"/>
              <w:left w:val="single" w:sz="4" w:space="0" w:color="D9D9D9"/>
              <w:bottom w:val="single" w:sz="4" w:space="0" w:color="D9D9D9"/>
              <w:right w:val="single" w:sz="4" w:space="0" w:color="D9D9D9"/>
            </w:tcBorders>
            <w:shd w:val="clear" w:color="auto" w:fill="FFFFFF"/>
            <w:noWrap/>
            <w:vAlign w:val="center"/>
            <w:hideMark/>
          </w:tcPr>
          <w:p w:rsidR="00600F9C" w:rsidRDefault="00600F9C">
            <w:pPr>
              <w:jc w:val="center"/>
              <w:rPr>
                <w:rFonts w:ascii="Century Gothic" w:hAnsi="Century Gothic" w:cs="Calibri"/>
                <w:sz w:val="18"/>
                <w:szCs w:val="18"/>
                <w:lang w:eastAsia="es-CO"/>
              </w:rPr>
            </w:pPr>
            <w:r>
              <w:rPr>
                <w:rFonts w:ascii="Century Gothic" w:hAnsi="Century Gothic" w:cs="Calibri"/>
                <w:sz w:val="18"/>
                <w:szCs w:val="18"/>
                <w:lang w:eastAsia="es-CO"/>
              </w:rPr>
              <w:t>0</w:t>
            </w:r>
          </w:p>
        </w:tc>
        <w:tc>
          <w:tcPr>
            <w:tcW w:w="547" w:type="dxa"/>
            <w:tcBorders>
              <w:top w:val="single" w:sz="4" w:space="0" w:color="D9D9D9"/>
              <w:left w:val="single" w:sz="4" w:space="0" w:color="D9D9D9"/>
              <w:bottom w:val="single" w:sz="4" w:space="0" w:color="D9D9D9"/>
              <w:right w:val="single" w:sz="4" w:space="0" w:color="D9D9D9"/>
            </w:tcBorders>
            <w:shd w:val="clear" w:color="auto" w:fill="D0CECE"/>
            <w:vAlign w:val="center"/>
            <w:hideMark/>
          </w:tcPr>
          <w:p w:rsidR="00600F9C" w:rsidRDefault="00600F9C">
            <w:pPr>
              <w:jc w:val="center"/>
              <w:rPr>
                <w:rFonts w:ascii="Century Gothic" w:hAnsi="Century Gothic" w:cs="Calibri"/>
                <w:b/>
                <w:bCs/>
                <w:sz w:val="18"/>
                <w:szCs w:val="18"/>
                <w:lang w:eastAsia="es-CO"/>
              </w:rPr>
            </w:pPr>
            <w:r>
              <w:rPr>
                <w:rFonts w:ascii="Century Gothic" w:hAnsi="Century Gothic" w:cs="Calibri"/>
                <w:b/>
                <w:bCs/>
                <w:sz w:val="18"/>
                <w:szCs w:val="18"/>
                <w:lang w:eastAsia="es-CO"/>
              </w:rPr>
              <w:t>17</w:t>
            </w:r>
          </w:p>
        </w:tc>
        <w:tc>
          <w:tcPr>
            <w:tcW w:w="1249" w:type="dxa"/>
            <w:tcBorders>
              <w:top w:val="single" w:sz="4" w:space="0" w:color="D9D9D9"/>
              <w:left w:val="single" w:sz="4" w:space="0" w:color="D9D9D9"/>
              <w:bottom w:val="single" w:sz="4" w:space="0" w:color="D9D9D9"/>
              <w:right w:val="single" w:sz="4" w:space="0" w:color="auto"/>
            </w:tcBorders>
            <w:shd w:val="clear" w:color="auto" w:fill="C6E0B4"/>
            <w:noWrap/>
            <w:vAlign w:val="center"/>
            <w:hideMark/>
          </w:tcPr>
          <w:p w:rsidR="00600F9C" w:rsidRDefault="00600F9C">
            <w:pPr>
              <w:jc w:val="center"/>
              <w:rPr>
                <w:rFonts w:ascii="Century Gothic" w:hAnsi="Century Gothic" w:cs="Calibri"/>
                <w:b/>
                <w:bCs/>
                <w:sz w:val="18"/>
                <w:szCs w:val="18"/>
              </w:rPr>
            </w:pPr>
            <w:r>
              <w:rPr>
                <w:rFonts w:ascii="Century Gothic" w:hAnsi="Century Gothic" w:cs="Calibri"/>
                <w:b/>
                <w:bCs/>
                <w:sz w:val="18"/>
                <w:szCs w:val="18"/>
              </w:rPr>
              <w:t>29%</w:t>
            </w:r>
          </w:p>
        </w:tc>
      </w:tr>
      <w:tr w:rsidR="00600F9C" w:rsidTr="00600F9C">
        <w:trPr>
          <w:trHeight w:val="315"/>
        </w:trPr>
        <w:tc>
          <w:tcPr>
            <w:tcW w:w="3114" w:type="dxa"/>
            <w:tcBorders>
              <w:top w:val="single" w:sz="4" w:space="0" w:color="D9D9D9"/>
              <w:left w:val="single" w:sz="4" w:space="0" w:color="auto"/>
              <w:bottom w:val="single" w:sz="4" w:space="0" w:color="D9D9D9"/>
              <w:right w:val="single" w:sz="4" w:space="0" w:color="D9D9D9"/>
            </w:tcBorders>
            <w:shd w:val="clear" w:color="auto" w:fill="FFFFFF"/>
            <w:noWrap/>
            <w:vAlign w:val="bottom"/>
            <w:hideMark/>
          </w:tcPr>
          <w:p w:rsidR="00600F9C" w:rsidRDefault="00600F9C">
            <w:pPr>
              <w:rPr>
                <w:rFonts w:ascii="Century Gothic" w:hAnsi="Century Gothic" w:cs="Calibri"/>
                <w:sz w:val="18"/>
                <w:szCs w:val="18"/>
                <w:lang w:eastAsia="es-CO"/>
              </w:rPr>
            </w:pPr>
            <w:r>
              <w:rPr>
                <w:rFonts w:ascii="Century Gothic" w:hAnsi="Century Gothic" w:cs="Calibri"/>
                <w:sz w:val="18"/>
                <w:szCs w:val="18"/>
                <w:lang w:eastAsia="es-CO"/>
              </w:rPr>
              <w:t>Sistema de Responsabilidad Social</w:t>
            </w:r>
          </w:p>
        </w:tc>
        <w:tc>
          <w:tcPr>
            <w:tcW w:w="1307" w:type="dxa"/>
            <w:tcBorders>
              <w:top w:val="single" w:sz="4" w:space="0" w:color="D9D9D9"/>
              <w:left w:val="single" w:sz="4" w:space="0" w:color="D9D9D9"/>
              <w:bottom w:val="single" w:sz="4" w:space="0" w:color="D9D9D9"/>
              <w:right w:val="single" w:sz="4" w:space="0" w:color="D9D9D9"/>
            </w:tcBorders>
            <w:shd w:val="clear" w:color="auto" w:fill="FFFFFF"/>
            <w:noWrap/>
            <w:vAlign w:val="bottom"/>
            <w:hideMark/>
          </w:tcPr>
          <w:p w:rsidR="00600F9C" w:rsidRDefault="00600F9C">
            <w:pPr>
              <w:jc w:val="center"/>
              <w:rPr>
                <w:rFonts w:ascii="Century Gothic" w:hAnsi="Century Gothic" w:cs="Calibri"/>
                <w:sz w:val="18"/>
                <w:szCs w:val="18"/>
                <w:lang w:eastAsia="es-CO"/>
              </w:rPr>
            </w:pPr>
            <w:r>
              <w:rPr>
                <w:rFonts w:ascii="Century Gothic" w:hAnsi="Century Gothic" w:cs="Calibri"/>
                <w:sz w:val="18"/>
                <w:szCs w:val="18"/>
                <w:lang w:eastAsia="es-CO"/>
              </w:rPr>
              <w:t>24</w:t>
            </w:r>
          </w:p>
        </w:tc>
        <w:tc>
          <w:tcPr>
            <w:tcW w:w="961" w:type="dxa"/>
            <w:tcBorders>
              <w:top w:val="single" w:sz="4" w:space="0" w:color="D9D9D9"/>
              <w:left w:val="single" w:sz="4" w:space="0" w:color="D9D9D9"/>
              <w:bottom w:val="single" w:sz="4" w:space="0" w:color="D9D9D9"/>
              <w:right w:val="single" w:sz="4" w:space="0" w:color="D9D9D9"/>
            </w:tcBorders>
            <w:shd w:val="clear" w:color="auto" w:fill="FFFFFF"/>
            <w:noWrap/>
            <w:vAlign w:val="bottom"/>
            <w:hideMark/>
          </w:tcPr>
          <w:p w:rsidR="00600F9C" w:rsidRDefault="00600F9C">
            <w:pPr>
              <w:jc w:val="center"/>
              <w:rPr>
                <w:rFonts w:ascii="Century Gothic" w:hAnsi="Century Gothic" w:cs="Calibri"/>
                <w:sz w:val="18"/>
                <w:szCs w:val="18"/>
                <w:lang w:eastAsia="es-CO"/>
              </w:rPr>
            </w:pPr>
            <w:r>
              <w:rPr>
                <w:rFonts w:ascii="Century Gothic" w:hAnsi="Century Gothic" w:cs="Calibri"/>
                <w:sz w:val="18"/>
                <w:szCs w:val="18"/>
                <w:lang w:eastAsia="es-CO"/>
              </w:rPr>
              <w:t>0</w:t>
            </w:r>
          </w:p>
        </w:tc>
        <w:tc>
          <w:tcPr>
            <w:tcW w:w="1240" w:type="dxa"/>
            <w:tcBorders>
              <w:top w:val="single" w:sz="4" w:space="0" w:color="D9D9D9"/>
              <w:left w:val="single" w:sz="4" w:space="0" w:color="D9D9D9"/>
              <w:bottom w:val="single" w:sz="4" w:space="0" w:color="D9D9D9"/>
              <w:right w:val="single" w:sz="4" w:space="0" w:color="D9D9D9"/>
            </w:tcBorders>
            <w:shd w:val="clear" w:color="auto" w:fill="FFFFFF"/>
            <w:noWrap/>
            <w:vAlign w:val="bottom"/>
            <w:hideMark/>
          </w:tcPr>
          <w:p w:rsidR="00600F9C" w:rsidRDefault="00600F9C">
            <w:pPr>
              <w:jc w:val="center"/>
              <w:rPr>
                <w:rFonts w:ascii="Century Gothic" w:hAnsi="Century Gothic" w:cs="Calibri"/>
                <w:sz w:val="18"/>
                <w:szCs w:val="18"/>
                <w:lang w:eastAsia="es-CO"/>
              </w:rPr>
            </w:pPr>
            <w:r>
              <w:rPr>
                <w:rFonts w:ascii="Century Gothic" w:hAnsi="Century Gothic" w:cs="Calibri"/>
                <w:sz w:val="18"/>
                <w:szCs w:val="18"/>
                <w:lang w:eastAsia="es-CO"/>
              </w:rPr>
              <w:t>32</w:t>
            </w:r>
          </w:p>
        </w:tc>
        <w:tc>
          <w:tcPr>
            <w:tcW w:w="945" w:type="dxa"/>
            <w:tcBorders>
              <w:top w:val="single" w:sz="4" w:space="0" w:color="D9D9D9"/>
              <w:left w:val="single" w:sz="4" w:space="0" w:color="D9D9D9"/>
              <w:bottom w:val="single" w:sz="4" w:space="0" w:color="D9D9D9"/>
              <w:right w:val="single" w:sz="4" w:space="0" w:color="D9D9D9"/>
            </w:tcBorders>
            <w:shd w:val="clear" w:color="auto" w:fill="FFFFFF"/>
            <w:noWrap/>
            <w:vAlign w:val="bottom"/>
            <w:hideMark/>
          </w:tcPr>
          <w:p w:rsidR="00600F9C" w:rsidRDefault="00600F9C">
            <w:pPr>
              <w:jc w:val="center"/>
              <w:rPr>
                <w:rFonts w:ascii="Century Gothic" w:hAnsi="Century Gothic" w:cs="Calibri"/>
                <w:sz w:val="18"/>
                <w:szCs w:val="18"/>
                <w:lang w:eastAsia="es-CO"/>
              </w:rPr>
            </w:pPr>
            <w:r>
              <w:rPr>
                <w:rFonts w:ascii="Century Gothic" w:hAnsi="Century Gothic" w:cs="Calibri"/>
                <w:sz w:val="18"/>
                <w:szCs w:val="18"/>
                <w:lang w:eastAsia="es-CO"/>
              </w:rPr>
              <w:t>1</w:t>
            </w:r>
          </w:p>
        </w:tc>
        <w:tc>
          <w:tcPr>
            <w:tcW w:w="839" w:type="dxa"/>
            <w:tcBorders>
              <w:top w:val="single" w:sz="4" w:space="0" w:color="D9D9D9"/>
              <w:left w:val="single" w:sz="4" w:space="0" w:color="D9D9D9"/>
              <w:bottom w:val="single" w:sz="4" w:space="0" w:color="D9D9D9"/>
              <w:right w:val="single" w:sz="4" w:space="0" w:color="D9D9D9"/>
            </w:tcBorders>
            <w:shd w:val="clear" w:color="auto" w:fill="FFFFFF"/>
            <w:noWrap/>
            <w:vAlign w:val="bottom"/>
            <w:hideMark/>
          </w:tcPr>
          <w:p w:rsidR="00600F9C" w:rsidRDefault="00600F9C">
            <w:pPr>
              <w:jc w:val="center"/>
              <w:rPr>
                <w:rFonts w:ascii="Century Gothic" w:hAnsi="Century Gothic" w:cs="Calibri"/>
                <w:sz w:val="18"/>
                <w:szCs w:val="18"/>
                <w:lang w:eastAsia="es-CO"/>
              </w:rPr>
            </w:pPr>
            <w:r>
              <w:rPr>
                <w:rFonts w:ascii="Century Gothic" w:hAnsi="Century Gothic" w:cs="Calibri"/>
                <w:sz w:val="18"/>
                <w:szCs w:val="18"/>
                <w:lang w:eastAsia="es-CO"/>
              </w:rPr>
              <w:t>15</w:t>
            </w:r>
          </w:p>
        </w:tc>
        <w:tc>
          <w:tcPr>
            <w:tcW w:w="547" w:type="dxa"/>
            <w:tcBorders>
              <w:top w:val="single" w:sz="4" w:space="0" w:color="D9D9D9"/>
              <w:left w:val="single" w:sz="4" w:space="0" w:color="D9D9D9"/>
              <w:bottom w:val="single" w:sz="4" w:space="0" w:color="D9D9D9"/>
              <w:right w:val="single" w:sz="4" w:space="0" w:color="D9D9D9"/>
            </w:tcBorders>
            <w:shd w:val="clear" w:color="auto" w:fill="D0CECE"/>
            <w:vAlign w:val="center"/>
            <w:hideMark/>
          </w:tcPr>
          <w:p w:rsidR="00600F9C" w:rsidRDefault="00600F9C">
            <w:pPr>
              <w:jc w:val="center"/>
              <w:rPr>
                <w:rFonts w:ascii="Century Gothic" w:hAnsi="Century Gothic" w:cs="Calibri"/>
                <w:b/>
                <w:bCs/>
                <w:sz w:val="18"/>
                <w:szCs w:val="18"/>
                <w:lang w:eastAsia="es-CO"/>
              </w:rPr>
            </w:pPr>
            <w:r>
              <w:rPr>
                <w:rFonts w:ascii="Century Gothic" w:hAnsi="Century Gothic" w:cs="Calibri"/>
                <w:b/>
                <w:bCs/>
                <w:sz w:val="18"/>
                <w:szCs w:val="18"/>
                <w:lang w:eastAsia="es-CO"/>
              </w:rPr>
              <w:t>72</w:t>
            </w:r>
          </w:p>
        </w:tc>
        <w:tc>
          <w:tcPr>
            <w:tcW w:w="1249" w:type="dxa"/>
            <w:tcBorders>
              <w:top w:val="single" w:sz="4" w:space="0" w:color="D9D9D9"/>
              <w:left w:val="single" w:sz="4" w:space="0" w:color="D9D9D9"/>
              <w:bottom w:val="single" w:sz="4" w:space="0" w:color="D9D9D9"/>
              <w:right w:val="single" w:sz="4" w:space="0" w:color="auto"/>
            </w:tcBorders>
            <w:shd w:val="clear" w:color="auto" w:fill="C6E0B4"/>
            <w:noWrap/>
            <w:vAlign w:val="center"/>
            <w:hideMark/>
          </w:tcPr>
          <w:p w:rsidR="00600F9C" w:rsidRDefault="00600F9C">
            <w:pPr>
              <w:jc w:val="center"/>
              <w:rPr>
                <w:rFonts w:ascii="Century Gothic" w:hAnsi="Century Gothic" w:cs="Calibri"/>
                <w:b/>
                <w:bCs/>
                <w:sz w:val="18"/>
                <w:szCs w:val="18"/>
              </w:rPr>
            </w:pPr>
            <w:r>
              <w:rPr>
                <w:rFonts w:ascii="Century Gothic" w:hAnsi="Century Gothic" w:cs="Calibri"/>
                <w:b/>
                <w:bCs/>
                <w:sz w:val="18"/>
                <w:szCs w:val="18"/>
              </w:rPr>
              <w:t>33%</w:t>
            </w:r>
          </w:p>
        </w:tc>
      </w:tr>
      <w:tr w:rsidR="00600F9C" w:rsidTr="00600F9C">
        <w:trPr>
          <w:trHeight w:val="300"/>
        </w:trPr>
        <w:tc>
          <w:tcPr>
            <w:tcW w:w="3114" w:type="dxa"/>
            <w:tcBorders>
              <w:top w:val="single" w:sz="4" w:space="0" w:color="D9D9D9"/>
              <w:left w:val="single" w:sz="4" w:space="0" w:color="auto"/>
              <w:bottom w:val="single" w:sz="4" w:space="0" w:color="auto"/>
              <w:right w:val="single" w:sz="4" w:space="0" w:color="D9D9D9"/>
            </w:tcBorders>
            <w:shd w:val="clear" w:color="auto" w:fill="FFFFFF"/>
            <w:noWrap/>
            <w:vAlign w:val="bottom"/>
            <w:hideMark/>
          </w:tcPr>
          <w:p w:rsidR="00600F9C" w:rsidRDefault="00600F9C">
            <w:pPr>
              <w:rPr>
                <w:rFonts w:ascii="Century Gothic" w:hAnsi="Century Gothic" w:cs="Calibri"/>
                <w:b/>
                <w:bCs/>
                <w:sz w:val="18"/>
                <w:szCs w:val="18"/>
                <w:lang w:eastAsia="es-CO"/>
              </w:rPr>
            </w:pPr>
            <w:r>
              <w:rPr>
                <w:rFonts w:ascii="Century Gothic" w:hAnsi="Century Gothic" w:cs="Calibri"/>
                <w:b/>
                <w:bCs/>
                <w:sz w:val="18"/>
                <w:szCs w:val="18"/>
                <w:lang w:eastAsia="es-CO"/>
              </w:rPr>
              <w:t>Total Actividades Plan SIG 2019</w:t>
            </w:r>
          </w:p>
        </w:tc>
        <w:tc>
          <w:tcPr>
            <w:tcW w:w="1307" w:type="dxa"/>
            <w:tcBorders>
              <w:top w:val="single" w:sz="4" w:space="0" w:color="D9D9D9"/>
              <w:left w:val="single" w:sz="4" w:space="0" w:color="D9D9D9"/>
              <w:bottom w:val="single" w:sz="4" w:space="0" w:color="auto"/>
              <w:right w:val="single" w:sz="4" w:space="0" w:color="D9D9D9"/>
            </w:tcBorders>
            <w:shd w:val="clear" w:color="auto" w:fill="FFFFFF"/>
            <w:noWrap/>
            <w:vAlign w:val="bottom"/>
            <w:hideMark/>
          </w:tcPr>
          <w:p w:rsidR="00600F9C" w:rsidRDefault="00600F9C">
            <w:pPr>
              <w:jc w:val="center"/>
              <w:rPr>
                <w:rFonts w:ascii="Century Gothic" w:hAnsi="Century Gothic" w:cs="Calibri"/>
                <w:b/>
                <w:bCs/>
                <w:sz w:val="18"/>
                <w:szCs w:val="18"/>
                <w:lang w:eastAsia="es-CO"/>
              </w:rPr>
            </w:pPr>
            <w:r>
              <w:rPr>
                <w:rFonts w:ascii="Century Gothic" w:hAnsi="Century Gothic" w:cs="Calibri"/>
                <w:b/>
                <w:bCs/>
                <w:sz w:val="18"/>
                <w:szCs w:val="18"/>
                <w:lang w:eastAsia="es-CO"/>
              </w:rPr>
              <w:t>111</w:t>
            </w:r>
          </w:p>
        </w:tc>
        <w:tc>
          <w:tcPr>
            <w:tcW w:w="961" w:type="dxa"/>
            <w:tcBorders>
              <w:top w:val="single" w:sz="4" w:space="0" w:color="D9D9D9"/>
              <w:left w:val="single" w:sz="4" w:space="0" w:color="D9D9D9"/>
              <w:bottom w:val="single" w:sz="4" w:space="0" w:color="auto"/>
              <w:right w:val="single" w:sz="4" w:space="0" w:color="D9D9D9"/>
            </w:tcBorders>
            <w:shd w:val="clear" w:color="auto" w:fill="FFFFFF"/>
            <w:noWrap/>
            <w:vAlign w:val="bottom"/>
            <w:hideMark/>
          </w:tcPr>
          <w:p w:rsidR="00600F9C" w:rsidRDefault="00600F9C">
            <w:pPr>
              <w:jc w:val="center"/>
              <w:rPr>
                <w:rFonts w:ascii="Century Gothic" w:hAnsi="Century Gothic" w:cs="Calibri"/>
                <w:b/>
                <w:bCs/>
                <w:sz w:val="18"/>
                <w:szCs w:val="18"/>
                <w:lang w:eastAsia="es-CO"/>
              </w:rPr>
            </w:pPr>
            <w:r>
              <w:rPr>
                <w:rFonts w:ascii="Century Gothic" w:hAnsi="Century Gothic" w:cs="Calibri"/>
                <w:b/>
                <w:bCs/>
                <w:sz w:val="18"/>
                <w:szCs w:val="18"/>
                <w:lang w:eastAsia="es-CO"/>
              </w:rPr>
              <w:t>12</w:t>
            </w:r>
          </w:p>
        </w:tc>
        <w:tc>
          <w:tcPr>
            <w:tcW w:w="1240" w:type="dxa"/>
            <w:tcBorders>
              <w:top w:val="single" w:sz="4" w:space="0" w:color="D9D9D9"/>
              <w:left w:val="single" w:sz="4" w:space="0" w:color="D9D9D9"/>
              <w:bottom w:val="single" w:sz="4" w:space="0" w:color="auto"/>
              <w:right w:val="single" w:sz="4" w:space="0" w:color="D9D9D9"/>
            </w:tcBorders>
            <w:shd w:val="clear" w:color="auto" w:fill="FFFFFF"/>
            <w:noWrap/>
            <w:vAlign w:val="bottom"/>
            <w:hideMark/>
          </w:tcPr>
          <w:p w:rsidR="00600F9C" w:rsidRDefault="00600F9C">
            <w:pPr>
              <w:jc w:val="center"/>
              <w:rPr>
                <w:rFonts w:ascii="Century Gothic" w:hAnsi="Century Gothic" w:cs="Calibri"/>
                <w:b/>
                <w:bCs/>
                <w:sz w:val="18"/>
                <w:szCs w:val="18"/>
                <w:lang w:eastAsia="es-CO"/>
              </w:rPr>
            </w:pPr>
            <w:r>
              <w:rPr>
                <w:rFonts w:ascii="Century Gothic" w:hAnsi="Century Gothic" w:cs="Calibri"/>
                <w:b/>
                <w:bCs/>
                <w:sz w:val="18"/>
                <w:szCs w:val="18"/>
                <w:lang w:eastAsia="es-CO"/>
              </w:rPr>
              <w:t>104</w:t>
            </w:r>
          </w:p>
        </w:tc>
        <w:tc>
          <w:tcPr>
            <w:tcW w:w="945" w:type="dxa"/>
            <w:tcBorders>
              <w:top w:val="single" w:sz="4" w:space="0" w:color="D9D9D9"/>
              <w:left w:val="single" w:sz="4" w:space="0" w:color="D9D9D9"/>
              <w:bottom w:val="single" w:sz="4" w:space="0" w:color="auto"/>
              <w:right w:val="single" w:sz="4" w:space="0" w:color="D9D9D9"/>
            </w:tcBorders>
            <w:shd w:val="clear" w:color="auto" w:fill="FFFFFF"/>
            <w:noWrap/>
            <w:vAlign w:val="bottom"/>
            <w:hideMark/>
          </w:tcPr>
          <w:p w:rsidR="00600F9C" w:rsidRDefault="00600F9C">
            <w:pPr>
              <w:jc w:val="center"/>
              <w:rPr>
                <w:rFonts w:ascii="Century Gothic" w:hAnsi="Century Gothic" w:cs="Calibri"/>
                <w:b/>
                <w:bCs/>
                <w:sz w:val="18"/>
                <w:szCs w:val="18"/>
                <w:lang w:eastAsia="es-CO"/>
              </w:rPr>
            </w:pPr>
            <w:r>
              <w:rPr>
                <w:rFonts w:ascii="Century Gothic" w:hAnsi="Century Gothic" w:cs="Calibri"/>
                <w:b/>
                <w:bCs/>
                <w:sz w:val="18"/>
                <w:szCs w:val="18"/>
                <w:lang w:eastAsia="es-CO"/>
              </w:rPr>
              <w:t>8</w:t>
            </w:r>
          </w:p>
        </w:tc>
        <w:tc>
          <w:tcPr>
            <w:tcW w:w="839" w:type="dxa"/>
            <w:tcBorders>
              <w:top w:val="single" w:sz="4" w:space="0" w:color="D9D9D9"/>
              <w:left w:val="single" w:sz="4" w:space="0" w:color="D9D9D9"/>
              <w:bottom w:val="single" w:sz="4" w:space="0" w:color="auto"/>
              <w:right w:val="single" w:sz="4" w:space="0" w:color="D9D9D9"/>
            </w:tcBorders>
            <w:shd w:val="clear" w:color="auto" w:fill="FFFFFF"/>
            <w:noWrap/>
            <w:vAlign w:val="bottom"/>
            <w:hideMark/>
          </w:tcPr>
          <w:p w:rsidR="00600F9C" w:rsidRDefault="00600F9C">
            <w:pPr>
              <w:jc w:val="center"/>
              <w:rPr>
                <w:rFonts w:ascii="Century Gothic" w:hAnsi="Century Gothic" w:cs="Calibri"/>
                <w:b/>
                <w:bCs/>
                <w:sz w:val="18"/>
                <w:szCs w:val="18"/>
                <w:lang w:eastAsia="es-CO"/>
              </w:rPr>
            </w:pPr>
            <w:r>
              <w:rPr>
                <w:rFonts w:ascii="Century Gothic" w:hAnsi="Century Gothic" w:cs="Calibri"/>
                <w:b/>
                <w:bCs/>
                <w:sz w:val="18"/>
                <w:szCs w:val="18"/>
                <w:lang w:eastAsia="es-CO"/>
              </w:rPr>
              <w:t>29</w:t>
            </w:r>
          </w:p>
        </w:tc>
        <w:tc>
          <w:tcPr>
            <w:tcW w:w="547" w:type="dxa"/>
            <w:tcBorders>
              <w:top w:val="single" w:sz="4" w:space="0" w:color="D9D9D9"/>
              <w:left w:val="single" w:sz="4" w:space="0" w:color="D9D9D9"/>
              <w:bottom w:val="single" w:sz="4" w:space="0" w:color="auto"/>
              <w:right w:val="single" w:sz="4" w:space="0" w:color="D9D9D9"/>
            </w:tcBorders>
            <w:shd w:val="clear" w:color="auto" w:fill="D0CECE"/>
            <w:vAlign w:val="center"/>
            <w:hideMark/>
          </w:tcPr>
          <w:p w:rsidR="00600F9C" w:rsidRDefault="00600F9C">
            <w:pPr>
              <w:jc w:val="center"/>
              <w:rPr>
                <w:rFonts w:ascii="Century Gothic" w:hAnsi="Century Gothic" w:cs="Calibri"/>
                <w:b/>
                <w:bCs/>
                <w:sz w:val="18"/>
                <w:szCs w:val="18"/>
                <w:lang w:eastAsia="es-CO"/>
              </w:rPr>
            </w:pPr>
            <w:r>
              <w:rPr>
                <w:rFonts w:ascii="Century Gothic" w:hAnsi="Century Gothic" w:cs="Calibri"/>
                <w:b/>
                <w:bCs/>
                <w:sz w:val="18"/>
                <w:szCs w:val="18"/>
                <w:lang w:eastAsia="es-CO"/>
              </w:rPr>
              <w:t>264</w:t>
            </w:r>
          </w:p>
        </w:tc>
        <w:tc>
          <w:tcPr>
            <w:tcW w:w="1249" w:type="dxa"/>
            <w:tcBorders>
              <w:top w:val="single" w:sz="4" w:space="0" w:color="D9D9D9"/>
              <w:left w:val="single" w:sz="4" w:space="0" w:color="D9D9D9"/>
              <w:bottom w:val="single" w:sz="4" w:space="0" w:color="auto"/>
              <w:right w:val="single" w:sz="4" w:space="0" w:color="auto"/>
            </w:tcBorders>
            <w:shd w:val="clear" w:color="auto" w:fill="C6E0B4"/>
            <w:noWrap/>
            <w:vAlign w:val="center"/>
            <w:hideMark/>
          </w:tcPr>
          <w:p w:rsidR="00600F9C" w:rsidRDefault="00600F9C">
            <w:pPr>
              <w:jc w:val="center"/>
              <w:rPr>
                <w:rFonts w:ascii="Century Gothic" w:hAnsi="Century Gothic" w:cs="Calibri"/>
                <w:b/>
                <w:bCs/>
                <w:sz w:val="18"/>
                <w:szCs w:val="18"/>
              </w:rPr>
            </w:pPr>
            <w:r>
              <w:rPr>
                <w:rFonts w:ascii="Century Gothic" w:hAnsi="Century Gothic" w:cs="Calibri"/>
                <w:b/>
                <w:bCs/>
                <w:sz w:val="18"/>
                <w:szCs w:val="18"/>
              </w:rPr>
              <w:t>42%</w:t>
            </w:r>
          </w:p>
        </w:tc>
      </w:tr>
    </w:tbl>
    <w:p w:rsidR="00600F9C" w:rsidRDefault="00600F9C" w:rsidP="00600F9C">
      <w:pPr>
        <w:pStyle w:val="Prrafodelista"/>
        <w:spacing w:line="276" w:lineRule="auto"/>
        <w:jc w:val="both"/>
        <w:rPr>
          <w:rFonts w:ascii="Arial" w:hAnsi="Arial" w:cs="Arial"/>
        </w:rPr>
      </w:pPr>
    </w:p>
    <w:p w:rsidR="00600F9C" w:rsidRPr="00CD536E" w:rsidRDefault="00600F9C" w:rsidP="00CD536E">
      <w:pPr>
        <w:jc w:val="both"/>
        <w:rPr>
          <w:rFonts w:ascii="Arial" w:hAnsi="Arial" w:cs="Arial"/>
          <w:sz w:val="24"/>
          <w:szCs w:val="24"/>
          <w:lang w:val="es-ES"/>
        </w:rPr>
      </w:pPr>
      <w:r w:rsidRPr="00CD536E">
        <w:rPr>
          <w:rFonts w:ascii="Arial" w:hAnsi="Arial" w:cs="Arial"/>
          <w:sz w:val="24"/>
          <w:szCs w:val="24"/>
          <w:lang w:val="es-ES"/>
        </w:rPr>
        <w:t>Del total de actividades de los planes del Sistema Integrado de Gestión, se han cumplido un total de 111 actividades que representan el 42% de avance según lo planeado para al tercer trimestre de 2019. Sin embargo, el cumplimiento de las actividades que solo aplicaban al corte fue de un 34%.</w:t>
      </w:r>
    </w:p>
    <w:p w:rsidR="003D333D" w:rsidRPr="00CD536E" w:rsidRDefault="003D333D" w:rsidP="003D333D">
      <w:pPr>
        <w:jc w:val="both"/>
        <w:rPr>
          <w:rFonts w:ascii="Arial" w:hAnsi="Arial" w:cs="Arial"/>
          <w:sz w:val="24"/>
          <w:szCs w:val="24"/>
          <w:lang w:val="es-ES"/>
        </w:rPr>
      </w:pPr>
      <w:r w:rsidRPr="00CD536E">
        <w:rPr>
          <w:rFonts w:ascii="Arial" w:hAnsi="Arial" w:cs="Arial"/>
          <w:sz w:val="24"/>
          <w:szCs w:val="24"/>
          <w:lang w:val="es-ES"/>
        </w:rPr>
        <w:t>La OCIG adelantó las auditorías y seguimientos, revisando en cada caso la efectividad de los controles asociados a los riesgos de los procesos y unidades auditadas; encontrando que algunos caso registraron debilidades en cuanto a la idoneidad o diseño de los mismos, así como la no aplicación o aplicación parcial de los procedimientos relacionados. De igual manera, se reconocieron algunos controles clave que se realizan de manera informal, pero apoyan de manera importante la operación de las áreas; en estos casos, fueron decla</w:t>
      </w:r>
      <w:r w:rsidR="00CD536E">
        <w:rPr>
          <w:rFonts w:ascii="Arial" w:hAnsi="Arial" w:cs="Arial"/>
          <w:sz w:val="24"/>
          <w:szCs w:val="24"/>
          <w:lang w:val="es-ES"/>
        </w:rPr>
        <w:t>rados para que se oficializaran</w:t>
      </w:r>
      <w:r w:rsidRPr="00CD536E">
        <w:rPr>
          <w:rFonts w:ascii="Arial" w:hAnsi="Arial" w:cs="Arial"/>
          <w:sz w:val="24"/>
          <w:szCs w:val="24"/>
          <w:lang w:val="es-ES"/>
        </w:rPr>
        <w:t>, documentaran y aseguraran su implementación. Los resultados fueron dados a conocer a cada uno de los responsables de los procesos,</w:t>
      </w:r>
      <w:r w:rsidR="00CD536E">
        <w:rPr>
          <w:rFonts w:ascii="Arial" w:hAnsi="Arial" w:cs="Arial"/>
          <w:sz w:val="24"/>
          <w:szCs w:val="24"/>
          <w:lang w:val="es-ES"/>
        </w:rPr>
        <w:t xml:space="preserve"> </w:t>
      </w:r>
      <w:r w:rsidRPr="00CD536E">
        <w:rPr>
          <w:rFonts w:ascii="Arial" w:hAnsi="Arial" w:cs="Arial"/>
          <w:sz w:val="24"/>
          <w:szCs w:val="24"/>
          <w:lang w:val="es-ES"/>
        </w:rPr>
        <w:t>indicando las falencias y fortalezas, para que se tomaran los correctivos necesarios, los cuales se verificaran en el 2020.</w:t>
      </w:r>
    </w:p>
    <w:p w:rsidR="00F03D13" w:rsidRPr="00022765" w:rsidRDefault="00022765" w:rsidP="00022765">
      <w:pPr>
        <w:pStyle w:val="Prrafodelista"/>
        <w:numPr>
          <w:ilvl w:val="0"/>
          <w:numId w:val="1"/>
        </w:numPr>
        <w:spacing w:before="360" w:after="120"/>
        <w:ind w:left="426" w:hanging="426"/>
        <w:jc w:val="both"/>
        <w:rPr>
          <w:rFonts w:ascii="Calibri" w:hAnsi="Calibri" w:cs="Calibri"/>
          <w:b/>
          <w:sz w:val="28"/>
          <w:szCs w:val="28"/>
        </w:rPr>
      </w:pPr>
      <w:r w:rsidRPr="00022765">
        <w:rPr>
          <w:rFonts w:ascii="Calibri" w:hAnsi="Calibri" w:cs="Calibri"/>
          <w:b/>
          <w:sz w:val="28"/>
          <w:szCs w:val="28"/>
        </w:rPr>
        <w:t>INFORMACIÓN Y COMUNICACIONES</w:t>
      </w:r>
    </w:p>
    <w:p w:rsidR="003A74FD" w:rsidRPr="00022765" w:rsidRDefault="003A74FD" w:rsidP="00022765">
      <w:pPr>
        <w:jc w:val="center"/>
        <w:rPr>
          <w:rFonts w:ascii="Calibri" w:hAnsi="Calibri" w:cs="Calibri"/>
          <w:b/>
          <w:sz w:val="24"/>
          <w:szCs w:val="24"/>
        </w:rPr>
      </w:pPr>
      <w:r w:rsidRPr="00022765">
        <w:rPr>
          <w:rFonts w:ascii="Calibri" w:hAnsi="Calibri" w:cs="Calibri"/>
          <w:b/>
          <w:sz w:val="24"/>
          <w:szCs w:val="24"/>
        </w:rPr>
        <w:t>Plan Táctico Comunicación Interna – Corte 31 de diciembre de 2019</w:t>
      </w:r>
    </w:p>
    <w:p w:rsidR="003A74FD" w:rsidRDefault="003A74FD" w:rsidP="003A74FD">
      <w:pPr>
        <w:ind w:left="-567" w:right="-234"/>
        <w:jc w:val="both"/>
        <w:rPr>
          <w:sz w:val="28"/>
          <w:szCs w:val="28"/>
          <w:highlight w:val="yellow"/>
        </w:rPr>
      </w:pPr>
      <w:r>
        <w:rPr>
          <w:noProof/>
          <w:lang w:eastAsia="es-CO"/>
        </w:rPr>
        <w:drawing>
          <wp:inline distT="0" distB="0" distL="0" distR="0" wp14:anchorId="15A19742" wp14:editId="7B67F18F">
            <wp:extent cx="6312734" cy="2234242"/>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342990" cy="2244950"/>
                    </a:xfrm>
                    <a:prstGeom prst="rect">
                      <a:avLst/>
                    </a:prstGeom>
                  </pic:spPr>
                </pic:pic>
              </a:graphicData>
            </a:graphic>
          </wp:inline>
        </w:drawing>
      </w:r>
      <w:r>
        <w:rPr>
          <w:noProof/>
          <w:lang w:eastAsia="es-CO"/>
        </w:rPr>
        <w:drawing>
          <wp:inline distT="0" distB="0" distL="0" distR="0" wp14:anchorId="5178C2C8" wp14:editId="44C29E03">
            <wp:extent cx="6275658" cy="1509623"/>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340934" cy="1525325"/>
                    </a:xfrm>
                    <a:prstGeom prst="rect">
                      <a:avLst/>
                    </a:prstGeom>
                  </pic:spPr>
                </pic:pic>
              </a:graphicData>
            </a:graphic>
          </wp:inline>
        </w:drawing>
      </w:r>
    </w:p>
    <w:p w:rsidR="00022765" w:rsidRDefault="00022765">
      <w:pPr>
        <w:rPr>
          <w:sz w:val="28"/>
          <w:szCs w:val="28"/>
          <w:highlight w:val="yellow"/>
        </w:rPr>
      </w:pPr>
      <w:r>
        <w:rPr>
          <w:sz w:val="28"/>
          <w:szCs w:val="28"/>
          <w:highlight w:val="yellow"/>
        </w:rPr>
        <w:br w:type="page"/>
      </w:r>
    </w:p>
    <w:p w:rsidR="003A74FD" w:rsidRDefault="003A74FD" w:rsidP="003A74FD">
      <w:pPr>
        <w:jc w:val="both"/>
        <w:rPr>
          <w:sz w:val="28"/>
          <w:szCs w:val="28"/>
          <w:highlight w:val="yellow"/>
        </w:rPr>
      </w:pPr>
    </w:p>
    <w:p w:rsidR="003A74FD" w:rsidRDefault="003A74FD" w:rsidP="003A74FD">
      <w:pPr>
        <w:ind w:left="-567"/>
        <w:jc w:val="both"/>
        <w:rPr>
          <w:sz w:val="28"/>
          <w:szCs w:val="28"/>
          <w:highlight w:val="yellow"/>
        </w:rPr>
      </w:pPr>
      <w:r>
        <w:rPr>
          <w:noProof/>
          <w:lang w:eastAsia="es-CO"/>
        </w:rPr>
        <w:drawing>
          <wp:inline distT="0" distB="0" distL="0" distR="0" wp14:anchorId="3C4B9DE6" wp14:editId="233B22BA">
            <wp:extent cx="6441941" cy="2613804"/>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465860" cy="2623509"/>
                    </a:xfrm>
                    <a:prstGeom prst="rect">
                      <a:avLst/>
                    </a:prstGeom>
                  </pic:spPr>
                </pic:pic>
              </a:graphicData>
            </a:graphic>
          </wp:inline>
        </w:drawing>
      </w:r>
      <w:r>
        <w:rPr>
          <w:noProof/>
          <w:lang w:eastAsia="es-CO"/>
        </w:rPr>
        <w:drawing>
          <wp:inline distT="0" distB="0" distL="0" distR="0" wp14:anchorId="7BD3E975" wp14:editId="72611F2E">
            <wp:extent cx="6426680" cy="3753623"/>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450785" cy="3767702"/>
                    </a:xfrm>
                    <a:prstGeom prst="rect">
                      <a:avLst/>
                    </a:prstGeom>
                  </pic:spPr>
                </pic:pic>
              </a:graphicData>
            </a:graphic>
          </wp:inline>
        </w:drawing>
      </w:r>
    </w:p>
    <w:p w:rsidR="00022765" w:rsidRDefault="00022765">
      <w:pPr>
        <w:rPr>
          <w:sz w:val="28"/>
          <w:szCs w:val="28"/>
          <w:highlight w:val="yellow"/>
        </w:rPr>
      </w:pPr>
      <w:r>
        <w:rPr>
          <w:sz w:val="28"/>
          <w:szCs w:val="28"/>
          <w:highlight w:val="yellow"/>
        </w:rPr>
        <w:br w:type="page"/>
      </w:r>
    </w:p>
    <w:p w:rsidR="00F03D13" w:rsidRPr="00022765" w:rsidRDefault="00022765" w:rsidP="006F14B7">
      <w:pPr>
        <w:pStyle w:val="Prrafodelista"/>
        <w:numPr>
          <w:ilvl w:val="0"/>
          <w:numId w:val="1"/>
        </w:numPr>
        <w:ind w:left="425" w:hanging="425"/>
        <w:contextualSpacing w:val="0"/>
        <w:jc w:val="both"/>
        <w:rPr>
          <w:b/>
          <w:sz w:val="28"/>
          <w:szCs w:val="28"/>
        </w:rPr>
      </w:pPr>
      <w:r w:rsidRPr="00022765">
        <w:rPr>
          <w:rFonts w:ascii="Calibri" w:hAnsi="Calibri" w:cs="Calibri"/>
          <w:b/>
          <w:sz w:val="28"/>
          <w:szCs w:val="28"/>
        </w:rPr>
        <w:t>MONITOREO</w:t>
      </w:r>
      <w:r w:rsidRPr="00022765">
        <w:rPr>
          <w:b/>
          <w:sz w:val="28"/>
          <w:szCs w:val="28"/>
        </w:rPr>
        <w:t xml:space="preserve"> Y SEGUIMIENTO</w:t>
      </w:r>
    </w:p>
    <w:p w:rsidR="00360DE6" w:rsidRPr="00022765" w:rsidRDefault="002F7FFC" w:rsidP="00022765">
      <w:pPr>
        <w:jc w:val="both"/>
        <w:rPr>
          <w:rFonts w:ascii="Arial" w:hAnsi="Arial" w:cs="Arial"/>
          <w:sz w:val="24"/>
          <w:szCs w:val="24"/>
          <w:lang w:val="es-ES"/>
        </w:rPr>
      </w:pPr>
      <w:r w:rsidRPr="00022765">
        <w:rPr>
          <w:rFonts w:ascii="Arial" w:hAnsi="Arial" w:cs="Arial"/>
          <w:sz w:val="24"/>
          <w:szCs w:val="24"/>
          <w:lang w:val="es-ES"/>
        </w:rPr>
        <w:t xml:space="preserve">Atendiendo los lineamientos impartidos por el DAFP en la </w:t>
      </w:r>
      <w:r w:rsidR="00022765" w:rsidRPr="00022765">
        <w:rPr>
          <w:rFonts w:ascii="Arial" w:hAnsi="Arial" w:cs="Arial"/>
          <w:sz w:val="24"/>
          <w:szCs w:val="24"/>
          <w:lang w:val="es-ES"/>
        </w:rPr>
        <w:t xml:space="preserve">Circular </w:t>
      </w:r>
      <w:r w:rsidRPr="00022765">
        <w:rPr>
          <w:rFonts w:ascii="Arial" w:hAnsi="Arial" w:cs="Arial"/>
          <w:sz w:val="24"/>
          <w:szCs w:val="24"/>
          <w:lang w:val="es-ES"/>
        </w:rPr>
        <w:t xml:space="preserve">Externa 006 de 2019, en el marco de lo dispuesto por el Decreto 2106 de 2019, a continuación se presenta de manera detallada </w:t>
      </w:r>
      <w:r w:rsidR="00360DE6" w:rsidRPr="00022765">
        <w:rPr>
          <w:rFonts w:ascii="Arial" w:hAnsi="Arial" w:cs="Arial"/>
          <w:sz w:val="24"/>
          <w:szCs w:val="24"/>
          <w:lang w:val="es-ES"/>
        </w:rPr>
        <w:t>las actuaciones de aseguramiento y consultoría adelantadas por la OCIG en el período noviembre- diciembre de 2019:</w:t>
      </w:r>
    </w:p>
    <w:p w:rsidR="0025215F" w:rsidRPr="00BC4001" w:rsidRDefault="0072305B" w:rsidP="006F14B7">
      <w:pPr>
        <w:pStyle w:val="Prrafodelista"/>
        <w:spacing w:after="120"/>
        <w:ind w:left="0"/>
        <w:contextualSpacing w:val="0"/>
        <w:jc w:val="both"/>
        <w:rPr>
          <w:rFonts w:ascii="Calibri" w:hAnsi="Calibri" w:cs="Calibri"/>
          <w:b/>
          <w:sz w:val="28"/>
          <w:szCs w:val="28"/>
        </w:rPr>
      </w:pPr>
      <w:r>
        <w:rPr>
          <w:rFonts w:ascii="Calibri" w:hAnsi="Calibri" w:cs="Calibri"/>
          <w:b/>
          <w:sz w:val="28"/>
          <w:szCs w:val="28"/>
        </w:rPr>
        <w:t>5.</w:t>
      </w:r>
      <w:r w:rsidR="007010B1" w:rsidRPr="00BC4001">
        <w:rPr>
          <w:rFonts w:ascii="Calibri" w:hAnsi="Calibri" w:cs="Calibri"/>
          <w:b/>
          <w:sz w:val="28"/>
          <w:szCs w:val="28"/>
        </w:rPr>
        <w:t>1-</w:t>
      </w:r>
      <w:r w:rsidR="00360DE6" w:rsidRPr="00BC4001">
        <w:rPr>
          <w:rFonts w:ascii="Calibri" w:hAnsi="Calibri" w:cs="Calibri"/>
          <w:b/>
          <w:sz w:val="28"/>
          <w:szCs w:val="28"/>
        </w:rPr>
        <w:t xml:space="preserve">Austeridad en el Gasto- </w:t>
      </w:r>
      <w:r w:rsidR="00034735" w:rsidRPr="00BC4001">
        <w:rPr>
          <w:rFonts w:ascii="Calibri" w:hAnsi="Calibri" w:cs="Calibri"/>
          <w:b/>
          <w:sz w:val="28"/>
          <w:szCs w:val="28"/>
        </w:rPr>
        <w:t>Octubre-Diciembre/19</w:t>
      </w:r>
      <w:r w:rsidR="006F14B7" w:rsidRPr="00BC4001">
        <w:rPr>
          <w:rFonts w:ascii="Calibri" w:hAnsi="Calibri" w:cs="Calibri"/>
          <w:b/>
          <w:sz w:val="28"/>
          <w:szCs w:val="28"/>
        </w:rPr>
        <w:t>:</w:t>
      </w:r>
    </w:p>
    <w:p w:rsidR="00360DE6" w:rsidRDefault="0025215F" w:rsidP="006F14B7">
      <w:pPr>
        <w:pStyle w:val="Prrafodelista"/>
        <w:spacing w:after="120"/>
        <w:ind w:left="0"/>
        <w:contextualSpacing w:val="0"/>
        <w:jc w:val="both"/>
        <w:rPr>
          <w:rFonts w:ascii="Arial" w:hAnsi="Arial" w:cs="Arial"/>
          <w:bCs/>
          <w:sz w:val="24"/>
          <w:szCs w:val="24"/>
        </w:rPr>
      </w:pPr>
      <w:r w:rsidRPr="0025215F">
        <w:rPr>
          <w:rFonts w:ascii="Arial" w:hAnsi="Arial" w:cs="Arial"/>
          <w:sz w:val="24"/>
          <w:szCs w:val="24"/>
        </w:rPr>
        <w:t>S</w:t>
      </w:r>
      <w:r w:rsidR="00034735" w:rsidRPr="0025215F">
        <w:rPr>
          <w:rFonts w:ascii="Arial" w:hAnsi="Arial" w:cs="Arial"/>
          <w:sz w:val="24"/>
          <w:szCs w:val="24"/>
        </w:rPr>
        <w:t>e</w:t>
      </w:r>
      <w:r w:rsidR="00034735">
        <w:rPr>
          <w:sz w:val="28"/>
          <w:szCs w:val="28"/>
        </w:rPr>
        <w:t xml:space="preserve"> e</w:t>
      </w:r>
      <w:r w:rsidR="00360DE6" w:rsidRPr="00360DE6">
        <w:rPr>
          <w:sz w:val="28"/>
          <w:szCs w:val="28"/>
        </w:rPr>
        <w:t xml:space="preserve">valuó el comportamiento de los rubros </w:t>
      </w:r>
      <w:r w:rsidR="00360DE6" w:rsidRPr="00360DE6">
        <w:rPr>
          <w:rFonts w:ascii="Arial" w:hAnsi="Arial" w:cs="Arial"/>
          <w:sz w:val="24"/>
          <w:szCs w:val="24"/>
        </w:rPr>
        <w:t>Horas Extras, Vacaciones compensadas, combustible, Teléfono fijo, teléfono celular, impresión y fotocopiado, dotación, honorarios y publicidad y</w:t>
      </w:r>
      <w:r w:rsidR="00360DE6">
        <w:rPr>
          <w:rFonts w:ascii="Arial" w:hAnsi="Arial" w:cs="Arial"/>
          <w:sz w:val="24"/>
          <w:szCs w:val="24"/>
        </w:rPr>
        <w:t xml:space="preserve"> propaganda, encontrando que </w:t>
      </w:r>
      <w:r w:rsidR="006F14B7">
        <w:rPr>
          <w:rFonts w:ascii="Arial" w:hAnsi="Arial" w:cs="Arial"/>
          <w:sz w:val="24"/>
          <w:szCs w:val="24"/>
        </w:rPr>
        <w:t>e</w:t>
      </w:r>
      <w:r w:rsidR="00360DE6" w:rsidRPr="000D3BF0">
        <w:rPr>
          <w:rFonts w:ascii="Arial" w:hAnsi="Arial" w:cs="Arial"/>
          <w:bCs/>
          <w:sz w:val="24"/>
          <w:szCs w:val="24"/>
        </w:rPr>
        <w:t xml:space="preserve">n el alcance de la información dispuesta y de los resultados obtenidos se puede concluir que la </w:t>
      </w:r>
      <w:r w:rsidR="006F14B7" w:rsidRPr="000D3BF0">
        <w:rPr>
          <w:rFonts w:ascii="Arial" w:hAnsi="Arial" w:cs="Arial"/>
          <w:bCs/>
          <w:sz w:val="24"/>
          <w:szCs w:val="24"/>
        </w:rPr>
        <w:t xml:space="preserve">Empresa </w:t>
      </w:r>
      <w:r w:rsidR="00360DE6" w:rsidRPr="000D3BF0">
        <w:rPr>
          <w:rFonts w:ascii="Arial" w:hAnsi="Arial" w:cs="Arial"/>
          <w:bCs/>
          <w:sz w:val="24"/>
          <w:szCs w:val="24"/>
        </w:rPr>
        <w:t>viene cumpliendo con las disposiciones externas e internas en materia de Austeridad en el Gasto.</w:t>
      </w:r>
    </w:p>
    <w:p w:rsidR="00360DE6" w:rsidRPr="006F14B7" w:rsidRDefault="00360DE6" w:rsidP="006F14B7">
      <w:pPr>
        <w:jc w:val="both"/>
        <w:rPr>
          <w:rFonts w:ascii="Arial" w:hAnsi="Arial" w:cs="Arial"/>
          <w:sz w:val="24"/>
          <w:szCs w:val="24"/>
          <w:lang w:val="es-ES"/>
        </w:rPr>
      </w:pPr>
      <w:r w:rsidRPr="006F14B7">
        <w:rPr>
          <w:rFonts w:ascii="Arial" w:hAnsi="Arial" w:cs="Arial"/>
          <w:sz w:val="24"/>
          <w:szCs w:val="24"/>
          <w:lang w:val="es-ES"/>
        </w:rPr>
        <w:t xml:space="preserve">Con el objeto de agregar valor a este ejercicio,  se evaluaron algunos rubros a nivel de detalle, como por ejemplo HE, telefonía celular, impresión y fotocopiado (suministro de elementos) y honorarios </w:t>
      </w:r>
      <w:r w:rsidR="009B314F" w:rsidRPr="006F14B7">
        <w:rPr>
          <w:rFonts w:ascii="Arial" w:hAnsi="Arial" w:cs="Arial"/>
          <w:sz w:val="24"/>
          <w:szCs w:val="24"/>
          <w:lang w:val="es-ES"/>
        </w:rPr>
        <w:t>y se dispuso para los gestores información</w:t>
      </w:r>
      <w:r w:rsidRPr="006F14B7">
        <w:rPr>
          <w:rFonts w:ascii="Arial" w:hAnsi="Arial" w:cs="Arial"/>
          <w:sz w:val="24"/>
          <w:szCs w:val="24"/>
          <w:lang w:val="es-ES"/>
        </w:rPr>
        <w:t xml:space="preserve"> referente que puede resultar útil para la toma decisiones</w:t>
      </w:r>
      <w:r w:rsidR="009B314F" w:rsidRPr="006F14B7">
        <w:rPr>
          <w:rFonts w:ascii="Arial" w:hAnsi="Arial" w:cs="Arial"/>
          <w:sz w:val="24"/>
          <w:szCs w:val="24"/>
          <w:lang w:val="es-ES"/>
        </w:rPr>
        <w:t>,</w:t>
      </w:r>
      <w:r w:rsidRPr="006F14B7">
        <w:rPr>
          <w:rFonts w:ascii="Arial" w:hAnsi="Arial" w:cs="Arial"/>
          <w:sz w:val="24"/>
          <w:szCs w:val="24"/>
          <w:lang w:val="es-ES"/>
        </w:rPr>
        <w:t xml:space="preserve"> buscando eficiencias administrativas.</w:t>
      </w:r>
    </w:p>
    <w:p w:rsidR="00034735" w:rsidRPr="006F14B7" w:rsidRDefault="00F64051" w:rsidP="006F14B7">
      <w:pPr>
        <w:jc w:val="both"/>
        <w:rPr>
          <w:rFonts w:ascii="Arial" w:hAnsi="Arial" w:cs="Arial"/>
          <w:sz w:val="24"/>
          <w:szCs w:val="24"/>
          <w:lang w:val="es-ES"/>
        </w:rPr>
      </w:pPr>
      <w:r w:rsidRPr="006F14B7">
        <w:rPr>
          <w:rFonts w:ascii="Arial" w:hAnsi="Arial" w:cs="Arial"/>
          <w:sz w:val="24"/>
          <w:szCs w:val="24"/>
          <w:lang w:val="es-ES"/>
        </w:rPr>
        <w:t>Seguidamente, se presentan los aspecto</w:t>
      </w:r>
      <w:r w:rsidR="00034735" w:rsidRPr="006F14B7">
        <w:rPr>
          <w:rFonts w:ascii="Arial" w:hAnsi="Arial" w:cs="Arial"/>
          <w:sz w:val="24"/>
          <w:szCs w:val="24"/>
          <w:lang w:val="es-ES"/>
        </w:rPr>
        <w:t>s más relevantes del ejercicio al culminar la vigencia.</w:t>
      </w:r>
    </w:p>
    <w:p w:rsidR="00034735" w:rsidRPr="00C46587" w:rsidRDefault="00C46587" w:rsidP="006F14B7">
      <w:pPr>
        <w:pStyle w:val="Ttulo2"/>
      </w:pPr>
      <w:r w:rsidRPr="00C46587">
        <w:t>-</w:t>
      </w:r>
      <w:r w:rsidR="00034735" w:rsidRPr="00C46587">
        <w:rPr>
          <w:sz w:val="22"/>
          <w:szCs w:val="22"/>
        </w:rPr>
        <w:t>Horas extras (HE)</w:t>
      </w:r>
      <w:r w:rsidRPr="00C46587">
        <w:rPr>
          <w:sz w:val="22"/>
          <w:szCs w:val="22"/>
        </w:rPr>
        <w:t>:</w:t>
      </w:r>
    </w:p>
    <w:p w:rsidR="00034735" w:rsidRDefault="00034735" w:rsidP="00034735">
      <w:pPr>
        <w:jc w:val="both"/>
        <w:rPr>
          <w:rFonts w:ascii="Arial" w:hAnsi="Arial" w:cs="Arial"/>
          <w:sz w:val="24"/>
          <w:lang w:val="es-ES"/>
        </w:rPr>
      </w:pPr>
      <w:r>
        <w:rPr>
          <w:rFonts w:ascii="Arial" w:hAnsi="Arial" w:cs="Arial"/>
          <w:sz w:val="24"/>
          <w:lang w:val="es-ES"/>
        </w:rPr>
        <w:t>Se realizó análisis comparativo entre las dos vigencias del cual se obtiene el siguiente comportamiento:</w:t>
      </w:r>
    </w:p>
    <w:p w:rsidR="00034735" w:rsidRPr="007F6BE6" w:rsidRDefault="00034735" w:rsidP="00034735">
      <w:pPr>
        <w:pStyle w:val="Descripcin"/>
        <w:keepNext/>
        <w:numPr>
          <w:ilvl w:val="0"/>
          <w:numId w:val="7"/>
        </w:numPr>
        <w:rPr>
          <w:b/>
          <w:color w:val="auto"/>
          <w:sz w:val="24"/>
        </w:rPr>
      </w:pPr>
      <w:r w:rsidRPr="007F6BE6">
        <w:rPr>
          <w:b/>
          <w:color w:val="auto"/>
          <w:sz w:val="24"/>
        </w:rPr>
        <w:t xml:space="preserve">Ilustración </w:t>
      </w:r>
      <w:r>
        <w:rPr>
          <w:b/>
          <w:color w:val="auto"/>
          <w:sz w:val="24"/>
        </w:rPr>
        <w:t>1</w:t>
      </w:r>
      <w:r w:rsidRPr="007F6BE6">
        <w:rPr>
          <w:b/>
          <w:color w:val="auto"/>
          <w:sz w:val="24"/>
        </w:rPr>
        <w:t>. Comportamiento reporte HE 2018 vs. 2019</w:t>
      </w:r>
    </w:p>
    <w:p w:rsidR="00034735" w:rsidRPr="006E79F0" w:rsidRDefault="00034735" w:rsidP="00034735">
      <w:pPr>
        <w:jc w:val="center"/>
        <w:rPr>
          <w:rFonts w:ascii="Arial" w:hAnsi="Arial" w:cs="Arial"/>
          <w:sz w:val="24"/>
          <w:szCs w:val="24"/>
          <w:highlight w:val="yellow"/>
        </w:rPr>
      </w:pPr>
      <w:r>
        <w:rPr>
          <w:noProof/>
          <w:lang w:eastAsia="es-CO"/>
        </w:rPr>
        <w:drawing>
          <wp:inline distT="0" distB="0" distL="0" distR="0" wp14:anchorId="61FF41E8" wp14:editId="189057BF">
            <wp:extent cx="4572000" cy="2743200"/>
            <wp:effectExtent l="0" t="0" r="0" b="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034735" w:rsidRPr="008046F3" w:rsidRDefault="00034735" w:rsidP="00034735">
      <w:pPr>
        <w:jc w:val="both"/>
        <w:rPr>
          <w:rFonts w:ascii="Arial" w:hAnsi="Arial" w:cs="Arial"/>
          <w:sz w:val="16"/>
          <w:szCs w:val="24"/>
        </w:rPr>
      </w:pPr>
      <w:r w:rsidRPr="008046F3">
        <w:rPr>
          <w:rFonts w:ascii="Arial" w:hAnsi="Arial" w:cs="Arial"/>
          <w:sz w:val="16"/>
          <w:szCs w:val="24"/>
        </w:rPr>
        <w:tab/>
      </w:r>
      <w:r w:rsidRPr="008046F3">
        <w:rPr>
          <w:rFonts w:ascii="Arial" w:hAnsi="Arial" w:cs="Arial"/>
          <w:sz w:val="16"/>
          <w:szCs w:val="24"/>
        </w:rPr>
        <w:tab/>
        <w:t>Fuente: Dirección de Gestión de Compensaciones - OCIG</w:t>
      </w:r>
    </w:p>
    <w:p w:rsidR="00034735" w:rsidRDefault="00034735" w:rsidP="00034735">
      <w:pPr>
        <w:pStyle w:val="Descripcin"/>
        <w:keepNext/>
        <w:jc w:val="both"/>
        <w:rPr>
          <w:i w:val="0"/>
          <w:color w:val="auto"/>
          <w:sz w:val="24"/>
        </w:rPr>
      </w:pPr>
      <w:r>
        <w:rPr>
          <w:i w:val="0"/>
          <w:color w:val="auto"/>
          <w:sz w:val="24"/>
        </w:rPr>
        <w:t>En la Ilustración 1</w:t>
      </w:r>
      <w:r w:rsidRPr="008046F3">
        <w:rPr>
          <w:i w:val="0"/>
          <w:color w:val="auto"/>
          <w:sz w:val="24"/>
        </w:rPr>
        <w:t xml:space="preserve">, se observa la relación entre el </w:t>
      </w:r>
      <w:r>
        <w:rPr>
          <w:i w:val="0"/>
          <w:color w:val="auto"/>
          <w:sz w:val="24"/>
        </w:rPr>
        <w:t>número</w:t>
      </w:r>
      <w:r w:rsidRPr="008046F3">
        <w:rPr>
          <w:i w:val="0"/>
          <w:color w:val="auto"/>
          <w:sz w:val="24"/>
        </w:rPr>
        <w:t xml:space="preserve"> de funcionarios a los que se remunera HE y el </w:t>
      </w:r>
      <w:r>
        <w:rPr>
          <w:i w:val="0"/>
          <w:color w:val="auto"/>
          <w:sz w:val="24"/>
        </w:rPr>
        <w:t>número</w:t>
      </w:r>
      <w:r w:rsidRPr="008046F3">
        <w:rPr>
          <w:i w:val="0"/>
          <w:color w:val="auto"/>
          <w:sz w:val="24"/>
        </w:rPr>
        <w:t xml:space="preserve"> de funcionarios  que su remuneración de HE fue superior </w:t>
      </w:r>
      <w:r>
        <w:rPr>
          <w:i w:val="0"/>
          <w:color w:val="auto"/>
          <w:sz w:val="24"/>
        </w:rPr>
        <w:t>a</w:t>
      </w:r>
      <w:r w:rsidRPr="008046F3">
        <w:rPr>
          <w:i w:val="0"/>
          <w:color w:val="auto"/>
          <w:sz w:val="24"/>
        </w:rPr>
        <w:t xml:space="preserve"> </w:t>
      </w:r>
      <w:r>
        <w:rPr>
          <w:i w:val="0"/>
          <w:color w:val="auto"/>
          <w:sz w:val="24"/>
        </w:rPr>
        <w:t>576</w:t>
      </w:r>
      <w:r w:rsidRPr="008046F3">
        <w:rPr>
          <w:i w:val="0"/>
          <w:color w:val="auto"/>
          <w:sz w:val="24"/>
        </w:rPr>
        <w:t xml:space="preserve"> HE/</w:t>
      </w:r>
      <w:r>
        <w:rPr>
          <w:i w:val="0"/>
          <w:color w:val="auto"/>
          <w:sz w:val="24"/>
        </w:rPr>
        <w:t>año</w:t>
      </w:r>
      <w:r w:rsidRPr="008046F3">
        <w:rPr>
          <w:i w:val="0"/>
          <w:color w:val="auto"/>
          <w:sz w:val="24"/>
        </w:rPr>
        <w:t>.</w:t>
      </w:r>
      <w:r w:rsidR="006F14B7">
        <w:rPr>
          <w:i w:val="0"/>
          <w:color w:val="auto"/>
          <w:sz w:val="24"/>
        </w:rPr>
        <w:t xml:space="preserve"> </w:t>
      </w:r>
      <w:r w:rsidRPr="008046F3">
        <w:rPr>
          <w:i w:val="0"/>
          <w:color w:val="auto"/>
          <w:sz w:val="24"/>
        </w:rPr>
        <w:t xml:space="preserve">Para el análisis realizado por esta </w:t>
      </w:r>
      <w:r>
        <w:rPr>
          <w:i w:val="0"/>
          <w:color w:val="auto"/>
          <w:sz w:val="24"/>
        </w:rPr>
        <w:t>O</w:t>
      </w:r>
      <w:r w:rsidRPr="008046F3">
        <w:rPr>
          <w:i w:val="0"/>
          <w:color w:val="auto"/>
          <w:sz w:val="24"/>
        </w:rPr>
        <w:t>ficina se excluyen los recargos nocturno y dominicales.</w:t>
      </w:r>
    </w:p>
    <w:p w:rsidR="00034735" w:rsidRPr="00AE34F4" w:rsidRDefault="00034735" w:rsidP="00034735">
      <w:pPr>
        <w:rPr>
          <w:rFonts w:ascii="Arial" w:hAnsi="Arial" w:cs="Arial"/>
          <w:sz w:val="24"/>
        </w:rPr>
      </w:pPr>
      <w:r w:rsidRPr="00AE34F4">
        <w:rPr>
          <w:rFonts w:ascii="Arial" w:hAnsi="Arial" w:cs="Arial"/>
          <w:sz w:val="24"/>
        </w:rPr>
        <w:t>Se evidenció lo siguiente:</w:t>
      </w:r>
    </w:p>
    <w:p w:rsidR="00034735" w:rsidRPr="00C46587" w:rsidRDefault="00034735" w:rsidP="006F14B7">
      <w:pPr>
        <w:pStyle w:val="Prrafodelista"/>
        <w:numPr>
          <w:ilvl w:val="0"/>
          <w:numId w:val="6"/>
        </w:numPr>
        <w:spacing w:after="120" w:line="240" w:lineRule="auto"/>
        <w:ind w:left="425" w:hanging="425"/>
        <w:contextualSpacing w:val="0"/>
        <w:jc w:val="both"/>
        <w:rPr>
          <w:rFonts w:ascii="Arial" w:hAnsi="Arial" w:cs="Arial"/>
        </w:rPr>
      </w:pPr>
      <w:r w:rsidRPr="002E2968">
        <w:rPr>
          <w:rFonts w:ascii="Arial" w:hAnsi="Arial" w:cs="Arial"/>
        </w:rPr>
        <w:t xml:space="preserve">El número de funcionarios con reporte de pago de HE </w:t>
      </w:r>
      <w:r>
        <w:rPr>
          <w:rFonts w:ascii="Arial" w:hAnsi="Arial" w:cs="Arial"/>
        </w:rPr>
        <w:t>presentó una reducción del 2,06% entre 2018 y 2019</w:t>
      </w:r>
      <w:r w:rsidRPr="002E2968">
        <w:rPr>
          <w:rFonts w:ascii="Arial" w:hAnsi="Arial" w:cs="Arial"/>
        </w:rPr>
        <w:t>.</w:t>
      </w:r>
    </w:p>
    <w:p w:rsidR="00034735" w:rsidRPr="00C46587" w:rsidRDefault="00034735" w:rsidP="006F14B7">
      <w:pPr>
        <w:pStyle w:val="Prrafodelista"/>
        <w:numPr>
          <w:ilvl w:val="0"/>
          <w:numId w:val="6"/>
        </w:numPr>
        <w:spacing w:after="120" w:line="240" w:lineRule="auto"/>
        <w:ind w:left="425" w:hanging="425"/>
        <w:contextualSpacing w:val="0"/>
        <w:jc w:val="both"/>
        <w:rPr>
          <w:rFonts w:ascii="Arial" w:hAnsi="Arial" w:cs="Arial"/>
        </w:rPr>
      </w:pPr>
      <w:r w:rsidRPr="002E2968">
        <w:rPr>
          <w:rFonts w:ascii="Arial" w:hAnsi="Arial" w:cs="Arial"/>
        </w:rPr>
        <w:t>El número de funcionarios que supe</w:t>
      </w:r>
      <w:r>
        <w:rPr>
          <w:rFonts w:ascii="Arial" w:hAnsi="Arial" w:cs="Arial"/>
        </w:rPr>
        <w:t>ra una remuneración de 576</w:t>
      </w:r>
      <w:r w:rsidRPr="002E2968">
        <w:rPr>
          <w:rFonts w:ascii="Arial" w:hAnsi="Arial" w:cs="Arial"/>
        </w:rPr>
        <w:t xml:space="preserve"> HE/</w:t>
      </w:r>
      <w:r>
        <w:rPr>
          <w:rFonts w:ascii="Arial" w:hAnsi="Arial" w:cs="Arial"/>
        </w:rPr>
        <w:t>año</w:t>
      </w:r>
      <w:r w:rsidRPr="002E2968">
        <w:rPr>
          <w:rFonts w:ascii="Arial" w:hAnsi="Arial" w:cs="Arial"/>
        </w:rPr>
        <w:t xml:space="preserve"> </w:t>
      </w:r>
      <w:r>
        <w:rPr>
          <w:rFonts w:ascii="Arial" w:hAnsi="Arial" w:cs="Arial"/>
        </w:rPr>
        <w:t>presentó una reducción del 4,47% entre 2018 y 2019</w:t>
      </w:r>
      <w:r w:rsidRPr="002E2968">
        <w:rPr>
          <w:rFonts w:ascii="Arial" w:hAnsi="Arial" w:cs="Arial"/>
        </w:rPr>
        <w:t>.</w:t>
      </w:r>
    </w:p>
    <w:p w:rsidR="00034735" w:rsidRDefault="00034735" w:rsidP="006F14B7">
      <w:pPr>
        <w:pStyle w:val="Prrafodelista"/>
        <w:numPr>
          <w:ilvl w:val="0"/>
          <w:numId w:val="6"/>
        </w:numPr>
        <w:spacing w:after="120" w:line="240" w:lineRule="auto"/>
        <w:ind w:left="425" w:hanging="425"/>
        <w:contextualSpacing w:val="0"/>
        <w:jc w:val="both"/>
        <w:rPr>
          <w:rFonts w:ascii="Arial" w:hAnsi="Arial" w:cs="Arial"/>
        </w:rPr>
      </w:pPr>
      <w:r>
        <w:rPr>
          <w:rFonts w:ascii="Arial" w:hAnsi="Arial" w:cs="Arial"/>
        </w:rPr>
        <w:t xml:space="preserve">Tomando como referencia lo planteado en la </w:t>
      </w:r>
      <w:r w:rsidR="006F14B7">
        <w:rPr>
          <w:rFonts w:ascii="Arial" w:hAnsi="Arial" w:cs="Arial"/>
        </w:rPr>
        <w:t xml:space="preserve">Resolución </w:t>
      </w:r>
      <w:r>
        <w:rPr>
          <w:rFonts w:ascii="Arial" w:hAnsi="Arial" w:cs="Arial"/>
        </w:rPr>
        <w:t>461 de 2016 y extrapolando a la vigencia anual, el valor de referencia es 576 HE/año(48x12); a partir de este referente, se evidenció que para la vigencia 2018 se presentaron casos de cargue de HE/año que superaron el valor referido hasta 1956 HE en el año, lo que corresponde a un reconocimiento de HE del 340%.</w:t>
      </w:r>
    </w:p>
    <w:p w:rsidR="00034735" w:rsidRPr="00024F46" w:rsidRDefault="00034735" w:rsidP="006F14B7">
      <w:pPr>
        <w:pStyle w:val="Prrafodelista"/>
        <w:numPr>
          <w:ilvl w:val="0"/>
          <w:numId w:val="6"/>
        </w:numPr>
        <w:spacing w:after="120" w:line="240" w:lineRule="auto"/>
        <w:ind w:left="425" w:hanging="425"/>
        <w:contextualSpacing w:val="0"/>
        <w:jc w:val="both"/>
        <w:rPr>
          <w:rFonts w:ascii="Arial" w:hAnsi="Arial" w:cs="Arial"/>
        </w:rPr>
      </w:pPr>
      <w:r>
        <w:rPr>
          <w:rFonts w:ascii="Arial" w:hAnsi="Arial" w:cs="Arial"/>
        </w:rPr>
        <w:t xml:space="preserve">Igualmente, desde la resolución 461 de 2016 y extrapolando a la vigencia anual, el valor de referencia es 576 HE/año; esta oficina determinó que para la </w:t>
      </w:r>
      <w:r w:rsidRPr="00024F46">
        <w:rPr>
          <w:rFonts w:ascii="Arial" w:hAnsi="Arial" w:cs="Arial"/>
        </w:rPr>
        <w:t>vigencia 2019 se presentaron casos de cargue de HE/año que superaron dicho valor de referencia hasta por 1396 HE en el año, lo que corresponde a un reconocimiento de HE del 242%;  registrándose así una variación   a la baja de 560 HE año, o sea del 28% aproximadamente.</w:t>
      </w:r>
    </w:p>
    <w:p w:rsidR="00034735" w:rsidRPr="00E157FF" w:rsidRDefault="00034735" w:rsidP="00034735">
      <w:pPr>
        <w:pStyle w:val="Prrafodelista"/>
        <w:spacing w:after="0" w:line="240" w:lineRule="auto"/>
        <w:jc w:val="both"/>
        <w:rPr>
          <w:rFonts w:ascii="Arial" w:hAnsi="Arial" w:cs="Arial"/>
        </w:rPr>
      </w:pPr>
    </w:p>
    <w:p w:rsidR="00034735" w:rsidRPr="00C46587" w:rsidRDefault="00C46587" w:rsidP="006F14B7">
      <w:pPr>
        <w:pStyle w:val="Ttulo2"/>
        <w:rPr>
          <w:sz w:val="22"/>
          <w:szCs w:val="22"/>
        </w:rPr>
      </w:pPr>
      <w:bookmarkStart w:id="1" w:name="_Toc485983810"/>
      <w:r>
        <w:t>-</w:t>
      </w:r>
      <w:r w:rsidR="00034735" w:rsidRPr="00C46587">
        <w:rPr>
          <w:sz w:val="22"/>
          <w:szCs w:val="22"/>
        </w:rPr>
        <w:t>Vacaciones Compensadas</w:t>
      </w:r>
      <w:bookmarkEnd w:id="1"/>
    </w:p>
    <w:p w:rsidR="00034735" w:rsidRPr="00196695" w:rsidRDefault="00034735" w:rsidP="006F14B7">
      <w:pPr>
        <w:pStyle w:val="Descripcin"/>
        <w:keepNext/>
        <w:numPr>
          <w:ilvl w:val="0"/>
          <w:numId w:val="7"/>
        </w:numPr>
        <w:spacing w:before="240" w:after="240"/>
        <w:ind w:left="714" w:hanging="357"/>
        <w:rPr>
          <w:b/>
          <w:color w:val="auto"/>
          <w:sz w:val="24"/>
        </w:rPr>
      </w:pPr>
      <w:r w:rsidRPr="00196695">
        <w:rPr>
          <w:b/>
          <w:color w:val="auto"/>
          <w:sz w:val="24"/>
        </w:rPr>
        <w:t xml:space="preserve">Ilustración </w:t>
      </w:r>
      <w:r>
        <w:rPr>
          <w:b/>
          <w:color w:val="auto"/>
          <w:sz w:val="24"/>
        </w:rPr>
        <w:t>2</w:t>
      </w:r>
      <w:r w:rsidRPr="00196695">
        <w:rPr>
          <w:b/>
          <w:color w:val="auto"/>
          <w:sz w:val="24"/>
        </w:rPr>
        <w:t>. Vacaciones Compensadas</w:t>
      </w:r>
      <w:r>
        <w:rPr>
          <w:b/>
          <w:color w:val="auto"/>
          <w:sz w:val="24"/>
        </w:rPr>
        <w:t xml:space="preserve"> 2018 vs</w:t>
      </w:r>
      <w:r w:rsidRPr="00196695">
        <w:rPr>
          <w:b/>
          <w:color w:val="auto"/>
          <w:sz w:val="24"/>
        </w:rPr>
        <w:t xml:space="preserve"> 201</w:t>
      </w:r>
      <w:r>
        <w:rPr>
          <w:b/>
          <w:color w:val="auto"/>
          <w:sz w:val="24"/>
        </w:rPr>
        <w:t>9</w:t>
      </w:r>
    </w:p>
    <w:p w:rsidR="00034735" w:rsidRDefault="00034735" w:rsidP="00034735">
      <w:pPr>
        <w:ind w:firstLine="709"/>
        <w:rPr>
          <w:rFonts w:ascii="Arial" w:hAnsi="Arial" w:cs="Arial"/>
          <w:sz w:val="16"/>
          <w:szCs w:val="24"/>
          <w:highlight w:val="yellow"/>
        </w:rPr>
      </w:pPr>
      <w:r>
        <w:rPr>
          <w:noProof/>
          <w:lang w:eastAsia="es-CO"/>
        </w:rPr>
        <w:drawing>
          <wp:inline distT="0" distB="0" distL="0" distR="0" wp14:anchorId="7482F487" wp14:editId="5EEBDD72">
            <wp:extent cx="5276850" cy="2762250"/>
            <wp:effectExtent l="0" t="0" r="0" b="0"/>
            <wp:docPr id="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034735" w:rsidRPr="008A276C" w:rsidRDefault="00034735" w:rsidP="00034735">
      <w:pPr>
        <w:ind w:firstLine="709"/>
        <w:rPr>
          <w:rFonts w:ascii="Arial" w:hAnsi="Arial" w:cs="Arial"/>
          <w:sz w:val="16"/>
          <w:szCs w:val="24"/>
        </w:rPr>
      </w:pPr>
      <w:r w:rsidRPr="008A276C">
        <w:rPr>
          <w:rFonts w:ascii="Arial" w:hAnsi="Arial" w:cs="Arial"/>
          <w:sz w:val="16"/>
          <w:szCs w:val="24"/>
        </w:rPr>
        <w:t xml:space="preserve">Fuente: </w:t>
      </w:r>
      <w:r>
        <w:rPr>
          <w:rFonts w:ascii="Arial" w:hAnsi="Arial" w:cs="Arial"/>
          <w:sz w:val="16"/>
          <w:szCs w:val="24"/>
        </w:rPr>
        <w:t>Gestión Humana</w:t>
      </w:r>
      <w:r w:rsidRPr="008A276C">
        <w:rPr>
          <w:rFonts w:ascii="Arial" w:hAnsi="Arial" w:cs="Arial"/>
          <w:sz w:val="16"/>
          <w:szCs w:val="24"/>
        </w:rPr>
        <w:t xml:space="preserve"> – OCIG</w:t>
      </w:r>
    </w:p>
    <w:p w:rsidR="00034735" w:rsidRDefault="00034735" w:rsidP="00034735">
      <w:pPr>
        <w:jc w:val="both"/>
        <w:rPr>
          <w:rFonts w:ascii="Arial" w:eastAsia="Calibri" w:hAnsi="Arial" w:cs="Arial"/>
          <w:b/>
          <w:color w:val="FF0000"/>
          <w:sz w:val="24"/>
          <w:szCs w:val="24"/>
          <w:highlight w:val="yellow"/>
        </w:rPr>
      </w:pPr>
    </w:p>
    <w:p w:rsidR="00034735" w:rsidRPr="00A50911" w:rsidRDefault="00034735" w:rsidP="00034735">
      <w:pPr>
        <w:pStyle w:val="Descripcin"/>
        <w:keepNext/>
        <w:rPr>
          <w:b/>
          <w:i w:val="0"/>
          <w:color w:val="auto"/>
          <w:sz w:val="24"/>
        </w:rPr>
      </w:pPr>
      <w:r w:rsidRPr="00A50911">
        <w:rPr>
          <w:b/>
          <w:i w:val="0"/>
          <w:color w:val="auto"/>
          <w:sz w:val="24"/>
        </w:rPr>
        <w:t xml:space="preserve">Tabla </w:t>
      </w:r>
      <w:r w:rsidRPr="00A50911">
        <w:rPr>
          <w:b/>
          <w:i w:val="0"/>
          <w:color w:val="auto"/>
          <w:sz w:val="24"/>
        </w:rPr>
        <w:fldChar w:fldCharType="begin"/>
      </w:r>
      <w:r w:rsidRPr="00A50911">
        <w:rPr>
          <w:b/>
          <w:i w:val="0"/>
          <w:color w:val="auto"/>
          <w:sz w:val="24"/>
        </w:rPr>
        <w:instrText xml:space="preserve"> SEQ Tabla \* ARABIC </w:instrText>
      </w:r>
      <w:r w:rsidRPr="00A50911">
        <w:rPr>
          <w:b/>
          <w:i w:val="0"/>
          <w:color w:val="auto"/>
          <w:sz w:val="24"/>
        </w:rPr>
        <w:fldChar w:fldCharType="separate"/>
      </w:r>
      <w:r>
        <w:rPr>
          <w:b/>
          <w:i w:val="0"/>
          <w:noProof/>
          <w:color w:val="auto"/>
          <w:sz w:val="24"/>
        </w:rPr>
        <w:t>1</w:t>
      </w:r>
      <w:r w:rsidRPr="00A50911">
        <w:rPr>
          <w:b/>
          <w:i w:val="0"/>
          <w:color w:val="auto"/>
          <w:sz w:val="24"/>
        </w:rPr>
        <w:fldChar w:fldCharType="end"/>
      </w:r>
      <w:r w:rsidRPr="00A50911">
        <w:rPr>
          <w:b/>
          <w:i w:val="0"/>
          <w:color w:val="auto"/>
          <w:sz w:val="24"/>
        </w:rPr>
        <w:t>. Vacaciones Compensadas 2018 vs. 2019</w:t>
      </w:r>
    </w:p>
    <w:tbl>
      <w:tblPr>
        <w:tblW w:w="9387" w:type="dxa"/>
        <w:tblCellMar>
          <w:left w:w="70" w:type="dxa"/>
          <w:right w:w="70" w:type="dxa"/>
        </w:tblCellMar>
        <w:tblLook w:val="04A0" w:firstRow="1" w:lastRow="0" w:firstColumn="1" w:lastColumn="0" w:noHBand="0" w:noVBand="1"/>
      </w:tblPr>
      <w:tblGrid>
        <w:gridCol w:w="2480"/>
        <w:gridCol w:w="1324"/>
        <w:gridCol w:w="1998"/>
        <w:gridCol w:w="1521"/>
        <w:gridCol w:w="2064"/>
      </w:tblGrid>
      <w:tr w:rsidR="00034735" w:rsidRPr="00A50911" w:rsidTr="00122B9B">
        <w:trPr>
          <w:trHeight w:val="270"/>
        </w:trPr>
        <w:tc>
          <w:tcPr>
            <w:tcW w:w="2480" w:type="dxa"/>
            <w:tcBorders>
              <w:top w:val="single" w:sz="8" w:space="0" w:color="auto"/>
              <w:left w:val="single" w:sz="8" w:space="0" w:color="auto"/>
              <w:bottom w:val="single" w:sz="8" w:space="0" w:color="auto"/>
              <w:right w:val="nil"/>
            </w:tcBorders>
            <w:shd w:val="clear" w:color="auto" w:fill="auto"/>
            <w:noWrap/>
            <w:vAlign w:val="bottom"/>
            <w:hideMark/>
          </w:tcPr>
          <w:p w:rsidR="00034735" w:rsidRPr="00A50911" w:rsidRDefault="00034735" w:rsidP="00122B9B">
            <w:pPr>
              <w:rPr>
                <w:rFonts w:ascii="Arial" w:hAnsi="Arial" w:cs="Arial"/>
                <w:lang w:eastAsia="es-CO"/>
              </w:rPr>
            </w:pPr>
            <w:r w:rsidRPr="00A50911">
              <w:rPr>
                <w:rFonts w:ascii="Arial" w:hAnsi="Arial" w:cs="Arial"/>
                <w:lang w:eastAsia="es-CO"/>
              </w:rPr>
              <w:t> </w:t>
            </w:r>
          </w:p>
        </w:tc>
        <w:tc>
          <w:tcPr>
            <w:tcW w:w="3322"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034735" w:rsidRPr="00A50911" w:rsidRDefault="00034735" w:rsidP="00122B9B">
            <w:pPr>
              <w:jc w:val="center"/>
              <w:rPr>
                <w:rFonts w:ascii="Arial" w:hAnsi="Arial" w:cs="Arial"/>
                <w:b/>
                <w:bCs/>
                <w:lang w:eastAsia="es-CO"/>
              </w:rPr>
            </w:pPr>
            <w:r w:rsidRPr="00A50911">
              <w:rPr>
                <w:rFonts w:ascii="Arial" w:hAnsi="Arial" w:cs="Arial"/>
                <w:b/>
                <w:bCs/>
                <w:lang w:eastAsia="es-CO"/>
              </w:rPr>
              <w:t>2018</w:t>
            </w:r>
          </w:p>
        </w:tc>
        <w:tc>
          <w:tcPr>
            <w:tcW w:w="3585" w:type="dxa"/>
            <w:gridSpan w:val="2"/>
            <w:tcBorders>
              <w:top w:val="single" w:sz="8" w:space="0" w:color="auto"/>
              <w:left w:val="nil"/>
              <w:bottom w:val="single" w:sz="8" w:space="0" w:color="auto"/>
              <w:right w:val="single" w:sz="8" w:space="0" w:color="000000"/>
            </w:tcBorders>
            <w:shd w:val="clear" w:color="auto" w:fill="auto"/>
            <w:noWrap/>
            <w:vAlign w:val="bottom"/>
            <w:hideMark/>
          </w:tcPr>
          <w:p w:rsidR="00034735" w:rsidRPr="00A50911" w:rsidRDefault="00034735" w:rsidP="00122B9B">
            <w:pPr>
              <w:jc w:val="center"/>
              <w:rPr>
                <w:rFonts w:ascii="Arial" w:hAnsi="Arial" w:cs="Arial"/>
                <w:b/>
                <w:bCs/>
                <w:lang w:eastAsia="es-CO"/>
              </w:rPr>
            </w:pPr>
            <w:r w:rsidRPr="00A50911">
              <w:rPr>
                <w:rFonts w:ascii="Arial" w:hAnsi="Arial" w:cs="Arial"/>
                <w:b/>
                <w:bCs/>
                <w:lang w:eastAsia="es-CO"/>
              </w:rPr>
              <w:t>2019</w:t>
            </w:r>
          </w:p>
        </w:tc>
      </w:tr>
      <w:tr w:rsidR="00034735" w:rsidRPr="00A50911" w:rsidTr="00122B9B">
        <w:trPr>
          <w:trHeight w:val="315"/>
        </w:trPr>
        <w:tc>
          <w:tcPr>
            <w:tcW w:w="2480" w:type="dxa"/>
            <w:tcBorders>
              <w:top w:val="nil"/>
              <w:left w:val="single" w:sz="8" w:space="0" w:color="auto"/>
              <w:bottom w:val="single" w:sz="8" w:space="0" w:color="auto"/>
              <w:right w:val="single" w:sz="4" w:space="0" w:color="auto"/>
            </w:tcBorders>
            <w:shd w:val="clear" w:color="auto" w:fill="auto"/>
            <w:noWrap/>
            <w:vAlign w:val="bottom"/>
            <w:hideMark/>
          </w:tcPr>
          <w:p w:rsidR="00034735" w:rsidRPr="00A50911" w:rsidRDefault="00034735" w:rsidP="00122B9B">
            <w:pPr>
              <w:rPr>
                <w:rFonts w:ascii="Arial" w:hAnsi="Arial" w:cs="Arial"/>
                <w:b/>
                <w:bCs/>
                <w:color w:val="000000"/>
                <w:lang w:eastAsia="es-CO"/>
              </w:rPr>
            </w:pPr>
            <w:r w:rsidRPr="00A50911">
              <w:rPr>
                <w:rFonts w:ascii="Arial" w:hAnsi="Arial" w:cs="Arial"/>
                <w:b/>
                <w:bCs/>
                <w:color w:val="000000"/>
                <w:lang w:eastAsia="es-CO"/>
              </w:rPr>
              <w:t>JUSTIFICACIÓN</w:t>
            </w:r>
          </w:p>
        </w:tc>
        <w:tc>
          <w:tcPr>
            <w:tcW w:w="1324" w:type="dxa"/>
            <w:tcBorders>
              <w:top w:val="nil"/>
              <w:left w:val="nil"/>
              <w:bottom w:val="single" w:sz="8" w:space="0" w:color="auto"/>
              <w:right w:val="single" w:sz="4" w:space="0" w:color="auto"/>
            </w:tcBorders>
            <w:shd w:val="clear" w:color="auto" w:fill="auto"/>
            <w:noWrap/>
            <w:vAlign w:val="bottom"/>
            <w:hideMark/>
          </w:tcPr>
          <w:p w:rsidR="00034735" w:rsidRPr="00A50911" w:rsidRDefault="00034735" w:rsidP="00122B9B">
            <w:pPr>
              <w:rPr>
                <w:rFonts w:ascii="Arial" w:hAnsi="Arial" w:cs="Arial"/>
                <w:b/>
                <w:bCs/>
                <w:color w:val="000000"/>
                <w:lang w:eastAsia="es-CO"/>
              </w:rPr>
            </w:pPr>
            <w:r w:rsidRPr="00A50911">
              <w:rPr>
                <w:rFonts w:ascii="Arial" w:hAnsi="Arial" w:cs="Arial"/>
                <w:b/>
                <w:bCs/>
                <w:color w:val="000000"/>
                <w:lang w:eastAsia="es-CO"/>
              </w:rPr>
              <w:t>CANTIDAD</w:t>
            </w:r>
          </w:p>
        </w:tc>
        <w:tc>
          <w:tcPr>
            <w:tcW w:w="1998" w:type="dxa"/>
            <w:tcBorders>
              <w:top w:val="nil"/>
              <w:left w:val="nil"/>
              <w:bottom w:val="single" w:sz="8" w:space="0" w:color="auto"/>
              <w:right w:val="single" w:sz="8" w:space="0" w:color="auto"/>
            </w:tcBorders>
            <w:shd w:val="clear" w:color="auto" w:fill="auto"/>
            <w:noWrap/>
            <w:vAlign w:val="bottom"/>
            <w:hideMark/>
          </w:tcPr>
          <w:p w:rsidR="00034735" w:rsidRPr="00A50911" w:rsidRDefault="00034735" w:rsidP="00122B9B">
            <w:pPr>
              <w:rPr>
                <w:rFonts w:ascii="Arial" w:hAnsi="Arial" w:cs="Arial"/>
                <w:b/>
                <w:bCs/>
                <w:color w:val="000000"/>
                <w:lang w:eastAsia="es-CO"/>
              </w:rPr>
            </w:pPr>
            <w:r w:rsidRPr="00A50911">
              <w:rPr>
                <w:rFonts w:ascii="Arial" w:hAnsi="Arial" w:cs="Arial"/>
                <w:b/>
                <w:bCs/>
                <w:color w:val="000000"/>
                <w:lang w:eastAsia="es-CO"/>
              </w:rPr>
              <w:t xml:space="preserve"> VALOR </w:t>
            </w:r>
          </w:p>
        </w:tc>
        <w:tc>
          <w:tcPr>
            <w:tcW w:w="1521" w:type="dxa"/>
            <w:tcBorders>
              <w:top w:val="nil"/>
              <w:left w:val="single" w:sz="4" w:space="0" w:color="auto"/>
              <w:bottom w:val="single" w:sz="8" w:space="0" w:color="auto"/>
              <w:right w:val="single" w:sz="4" w:space="0" w:color="auto"/>
            </w:tcBorders>
            <w:shd w:val="clear" w:color="auto" w:fill="auto"/>
            <w:noWrap/>
            <w:vAlign w:val="bottom"/>
            <w:hideMark/>
          </w:tcPr>
          <w:p w:rsidR="00034735" w:rsidRPr="00A50911" w:rsidRDefault="00034735" w:rsidP="00122B9B">
            <w:pPr>
              <w:rPr>
                <w:rFonts w:ascii="Arial" w:hAnsi="Arial" w:cs="Arial"/>
                <w:b/>
                <w:bCs/>
                <w:color w:val="000000"/>
                <w:lang w:eastAsia="es-CO"/>
              </w:rPr>
            </w:pPr>
            <w:r w:rsidRPr="00A50911">
              <w:rPr>
                <w:rFonts w:ascii="Arial" w:hAnsi="Arial" w:cs="Arial"/>
                <w:b/>
                <w:bCs/>
                <w:color w:val="000000"/>
                <w:lang w:eastAsia="es-CO"/>
              </w:rPr>
              <w:t>CANTIDAD</w:t>
            </w:r>
          </w:p>
        </w:tc>
        <w:tc>
          <w:tcPr>
            <w:tcW w:w="2064" w:type="dxa"/>
            <w:tcBorders>
              <w:top w:val="nil"/>
              <w:left w:val="nil"/>
              <w:bottom w:val="single" w:sz="8" w:space="0" w:color="auto"/>
              <w:right w:val="single" w:sz="8" w:space="0" w:color="auto"/>
            </w:tcBorders>
            <w:shd w:val="clear" w:color="auto" w:fill="auto"/>
            <w:noWrap/>
            <w:vAlign w:val="bottom"/>
            <w:hideMark/>
          </w:tcPr>
          <w:p w:rsidR="00034735" w:rsidRPr="00A50911" w:rsidRDefault="00034735" w:rsidP="00122B9B">
            <w:pPr>
              <w:rPr>
                <w:rFonts w:ascii="Arial" w:hAnsi="Arial" w:cs="Arial"/>
                <w:b/>
                <w:bCs/>
                <w:color w:val="000000"/>
                <w:lang w:eastAsia="es-CO"/>
              </w:rPr>
            </w:pPr>
            <w:r w:rsidRPr="00A50911">
              <w:rPr>
                <w:rFonts w:ascii="Arial" w:hAnsi="Arial" w:cs="Arial"/>
                <w:b/>
                <w:bCs/>
                <w:color w:val="000000"/>
                <w:lang w:eastAsia="es-CO"/>
              </w:rPr>
              <w:t xml:space="preserve"> VALOR </w:t>
            </w:r>
          </w:p>
        </w:tc>
      </w:tr>
      <w:tr w:rsidR="00034735" w:rsidRPr="00A50911" w:rsidTr="00122B9B">
        <w:trPr>
          <w:trHeight w:val="300"/>
        </w:trPr>
        <w:tc>
          <w:tcPr>
            <w:tcW w:w="2480" w:type="dxa"/>
            <w:tcBorders>
              <w:top w:val="nil"/>
              <w:left w:val="single" w:sz="8" w:space="0" w:color="auto"/>
              <w:bottom w:val="single" w:sz="4" w:space="0" w:color="auto"/>
              <w:right w:val="single" w:sz="4" w:space="0" w:color="auto"/>
            </w:tcBorders>
            <w:shd w:val="clear" w:color="auto" w:fill="auto"/>
            <w:noWrap/>
            <w:vAlign w:val="bottom"/>
            <w:hideMark/>
          </w:tcPr>
          <w:p w:rsidR="00034735" w:rsidRPr="00A50911" w:rsidRDefault="00034735" w:rsidP="00122B9B">
            <w:pPr>
              <w:rPr>
                <w:rFonts w:ascii="Arial" w:hAnsi="Arial" w:cs="Arial"/>
                <w:lang w:eastAsia="es-CO"/>
              </w:rPr>
            </w:pPr>
            <w:r w:rsidRPr="00A50911">
              <w:rPr>
                <w:rFonts w:ascii="Arial" w:hAnsi="Arial" w:cs="Arial"/>
                <w:lang w:eastAsia="es-CO"/>
              </w:rPr>
              <w:t>Justa Causa</w:t>
            </w:r>
          </w:p>
        </w:tc>
        <w:tc>
          <w:tcPr>
            <w:tcW w:w="1324" w:type="dxa"/>
            <w:tcBorders>
              <w:top w:val="nil"/>
              <w:left w:val="single" w:sz="8" w:space="0" w:color="auto"/>
              <w:bottom w:val="single" w:sz="4" w:space="0" w:color="auto"/>
              <w:right w:val="single" w:sz="4" w:space="0" w:color="auto"/>
            </w:tcBorders>
            <w:shd w:val="clear" w:color="auto" w:fill="auto"/>
            <w:noWrap/>
            <w:vAlign w:val="bottom"/>
            <w:hideMark/>
          </w:tcPr>
          <w:p w:rsidR="00034735" w:rsidRPr="00A50911" w:rsidRDefault="00034735" w:rsidP="00122B9B">
            <w:pPr>
              <w:jc w:val="center"/>
              <w:rPr>
                <w:rFonts w:ascii="Arial" w:hAnsi="Arial" w:cs="Arial"/>
                <w:color w:val="000000"/>
                <w:lang w:eastAsia="es-CO"/>
              </w:rPr>
            </w:pPr>
            <w:r w:rsidRPr="00A50911">
              <w:rPr>
                <w:rFonts w:ascii="Arial" w:hAnsi="Arial" w:cs="Arial"/>
                <w:color w:val="000000"/>
                <w:lang w:eastAsia="es-CO"/>
              </w:rPr>
              <w:t>32</w:t>
            </w:r>
          </w:p>
        </w:tc>
        <w:tc>
          <w:tcPr>
            <w:tcW w:w="1998" w:type="dxa"/>
            <w:tcBorders>
              <w:top w:val="nil"/>
              <w:left w:val="nil"/>
              <w:bottom w:val="single" w:sz="4" w:space="0" w:color="auto"/>
              <w:right w:val="single" w:sz="8" w:space="0" w:color="auto"/>
            </w:tcBorders>
            <w:shd w:val="clear" w:color="auto" w:fill="auto"/>
            <w:noWrap/>
            <w:vAlign w:val="bottom"/>
            <w:hideMark/>
          </w:tcPr>
          <w:p w:rsidR="00034735" w:rsidRPr="00A50911" w:rsidRDefault="00034735" w:rsidP="00122B9B">
            <w:pPr>
              <w:rPr>
                <w:rFonts w:ascii="Arial" w:hAnsi="Arial" w:cs="Arial"/>
                <w:color w:val="000000"/>
                <w:lang w:eastAsia="es-CO"/>
              </w:rPr>
            </w:pPr>
            <w:r w:rsidRPr="00A50911">
              <w:rPr>
                <w:rFonts w:ascii="Arial" w:hAnsi="Arial" w:cs="Arial"/>
                <w:color w:val="000000"/>
                <w:lang w:eastAsia="es-CO"/>
              </w:rPr>
              <w:t xml:space="preserve">$       41.439.556 </w:t>
            </w:r>
          </w:p>
        </w:tc>
        <w:tc>
          <w:tcPr>
            <w:tcW w:w="1521" w:type="dxa"/>
            <w:tcBorders>
              <w:top w:val="nil"/>
              <w:left w:val="single" w:sz="4" w:space="0" w:color="auto"/>
              <w:bottom w:val="single" w:sz="4" w:space="0" w:color="auto"/>
              <w:right w:val="single" w:sz="4" w:space="0" w:color="auto"/>
            </w:tcBorders>
            <w:shd w:val="clear" w:color="auto" w:fill="auto"/>
            <w:noWrap/>
            <w:vAlign w:val="bottom"/>
            <w:hideMark/>
          </w:tcPr>
          <w:p w:rsidR="00034735" w:rsidRPr="00A50911" w:rsidRDefault="00034735" w:rsidP="00122B9B">
            <w:pPr>
              <w:jc w:val="center"/>
              <w:rPr>
                <w:rFonts w:ascii="Arial" w:hAnsi="Arial" w:cs="Arial"/>
                <w:lang w:eastAsia="es-CO"/>
              </w:rPr>
            </w:pPr>
            <w:r w:rsidRPr="00A50911">
              <w:rPr>
                <w:rFonts w:ascii="Arial" w:hAnsi="Arial" w:cs="Arial"/>
                <w:lang w:eastAsia="es-CO"/>
              </w:rPr>
              <w:t>9</w:t>
            </w:r>
          </w:p>
        </w:tc>
        <w:tc>
          <w:tcPr>
            <w:tcW w:w="2064" w:type="dxa"/>
            <w:tcBorders>
              <w:top w:val="nil"/>
              <w:left w:val="nil"/>
              <w:bottom w:val="single" w:sz="4" w:space="0" w:color="auto"/>
              <w:right w:val="single" w:sz="8" w:space="0" w:color="auto"/>
            </w:tcBorders>
            <w:shd w:val="clear" w:color="auto" w:fill="auto"/>
            <w:noWrap/>
            <w:vAlign w:val="bottom"/>
            <w:hideMark/>
          </w:tcPr>
          <w:p w:rsidR="00034735" w:rsidRPr="00A50911" w:rsidRDefault="00034735" w:rsidP="00122B9B">
            <w:pPr>
              <w:rPr>
                <w:rFonts w:ascii="Arial" w:hAnsi="Arial" w:cs="Arial"/>
                <w:lang w:eastAsia="es-CO"/>
              </w:rPr>
            </w:pPr>
            <w:r w:rsidRPr="00A50911">
              <w:rPr>
                <w:rFonts w:ascii="Arial" w:hAnsi="Arial" w:cs="Arial"/>
                <w:lang w:eastAsia="es-CO"/>
              </w:rPr>
              <w:t xml:space="preserve">$   16.591.393 </w:t>
            </w:r>
          </w:p>
        </w:tc>
      </w:tr>
      <w:tr w:rsidR="00034735" w:rsidRPr="00A50911" w:rsidTr="00122B9B">
        <w:trPr>
          <w:trHeight w:val="300"/>
        </w:trPr>
        <w:tc>
          <w:tcPr>
            <w:tcW w:w="2480" w:type="dxa"/>
            <w:tcBorders>
              <w:top w:val="nil"/>
              <w:left w:val="single" w:sz="8" w:space="0" w:color="auto"/>
              <w:bottom w:val="single" w:sz="4" w:space="0" w:color="auto"/>
              <w:right w:val="single" w:sz="4" w:space="0" w:color="auto"/>
            </w:tcBorders>
            <w:shd w:val="clear" w:color="auto" w:fill="auto"/>
            <w:noWrap/>
            <w:vAlign w:val="bottom"/>
            <w:hideMark/>
          </w:tcPr>
          <w:p w:rsidR="00034735" w:rsidRPr="00A50911" w:rsidRDefault="00034735" w:rsidP="00122B9B">
            <w:pPr>
              <w:rPr>
                <w:rFonts w:ascii="Arial" w:hAnsi="Arial" w:cs="Arial"/>
                <w:lang w:eastAsia="es-CO"/>
              </w:rPr>
            </w:pPr>
            <w:r w:rsidRPr="00A50911">
              <w:rPr>
                <w:rFonts w:ascii="Arial" w:hAnsi="Arial" w:cs="Arial"/>
                <w:lang w:eastAsia="es-CO"/>
              </w:rPr>
              <w:t>Terminación Contrato</w:t>
            </w:r>
          </w:p>
        </w:tc>
        <w:tc>
          <w:tcPr>
            <w:tcW w:w="1324" w:type="dxa"/>
            <w:tcBorders>
              <w:top w:val="nil"/>
              <w:left w:val="single" w:sz="8" w:space="0" w:color="auto"/>
              <w:bottom w:val="single" w:sz="4" w:space="0" w:color="auto"/>
              <w:right w:val="single" w:sz="4" w:space="0" w:color="auto"/>
            </w:tcBorders>
            <w:shd w:val="clear" w:color="auto" w:fill="auto"/>
            <w:noWrap/>
            <w:vAlign w:val="bottom"/>
            <w:hideMark/>
          </w:tcPr>
          <w:p w:rsidR="00034735" w:rsidRPr="00A50911" w:rsidRDefault="00034735" w:rsidP="00122B9B">
            <w:pPr>
              <w:jc w:val="center"/>
              <w:rPr>
                <w:rFonts w:ascii="Arial" w:hAnsi="Arial" w:cs="Arial"/>
                <w:color w:val="000000"/>
                <w:lang w:eastAsia="es-CO"/>
              </w:rPr>
            </w:pPr>
            <w:r w:rsidRPr="00A50911">
              <w:rPr>
                <w:rFonts w:ascii="Arial" w:hAnsi="Arial" w:cs="Arial"/>
                <w:color w:val="000000"/>
                <w:lang w:eastAsia="es-CO"/>
              </w:rPr>
              <w:t>349</w:t>
            </w:r>
          </w:p>
        </w:tc>
        <w:tc>
          <w:tcPr>
            <w:tcW w:w="1998" w:type="dxa"/>
            <w:tcBorders>
              <w:top w:val="nil"/>
              <w:left w:val="nil"/>
              <w:bottom w:val="single" w:sz="4" w:space="0" w:color="auto"/>
              <w:right w:val="single" w:sz="8" w:space="0" w:color="auto"/>
            </w:tcBorders>
            <w:shd w:val="clear" w:color="auto" w:fill="auto"/>
            <w:noWrap/>
            <w:vAlign w:val="bottom"/>
            <w:hideMark/>
          </w:tcPr>
          <w:p w:rsidR="00034735" w:rsidRPr="00A50911" w:rsidRDefault="00034735" w:rsidP="00122B9B">
            <w:pPr>
              <w:rPr>
                <w:rFonts w:ascii="Arial" w:hAnsi="Arial" w:cs="Arial"/>
                <w:color w:val="000000"/>
                <w:lang w:eastAsia="es-CO"/>
              </w:rPr>
            </w:pPr>
            <w:r w:rsidRPr="00A50911">
              <w:rPr>
                <w:rFonts w:ascii="Arial" w:hAnsi="Arial" w:cs="Arial"/>
                <w:color w:val="000000"/>
                <w:lang w:eastAsia="es-CO"/>
              </w:rPr>
              <w:t xml:space="preserve">$     690.939.726 </w:t>
            </w:r>
          </w:p>
        </w:tc>
        <w:tc>
          <w:tcPr>
            <w:tcW w:w="1521" w:type="dxa"/>
            <w:tcBorders>
              <w:top w:val="nil"/>
              <w:left w:val="single" w:sz="4" w:space="0" w:color="auto"/>
              <w:bottom w:val="single" w:sz="4" w:space="0" w:color="auto"/>
              <w:right w:val="single" w:sz="4" w:space="0" w:color="auto"/>
            </w:tcBorders>
            <w:shd w:val="clear" w:color="auto" w:fill="auto"/>
            <w:noWrap/>
            <w:vAlign w:val="bottom"/>
            <w:hideMark/>
          </w:tcPr>
          <w:p w:rsidR="00034735" w:rsidRPr="00A50911" w:rsidRDefault="00034735" w:rsidP="00122B9B">
            <w:pPr>
              <w:jc w:val="center"/>
              <w:rPr>
                <w:rFonts w:ascii="Arial" w:hAnsi="Arial" w:cs="Arial"/>
                <w:lang w:eastAsia="es-CO"/>
              </w:rPr>
            </w:pPr>
            <w:r w:rsidRPr="00A50911">
              <w:rPr>
                <w:rFonts w:ascii="Arial" w:hAnsi="Arial" w:cs="Arial"/>
                <w:lang w:eastAsia="es-CO"/>
              </w:rPr>
              <w:t>46</w:t>
            </w:r>
          </w:p>
        </w:tc>
        <w:tc>
          <w:tcPr>
            <w:tcW w:w="2064" w:type="dxa"/>
            <w:tcBorders>
              <w:top w:val="nil"/>
              <w:left w:val="nil"/>
              <w:bottom w:val="single" w:sz="4" w:space="0" w:color="auto"/>
              <w:right w:val="single" w:sz="8" w:space="0" w:color="auto"/>
            </w:tcBorders>
            <w:shd w:val="clear" w:color="auto" w:fill="auto"/>
            <w:noWrap/>
            <w:vAlign w:val="bottom"/>
            <w:hideMark/>
          </w:tcPr>
          <w:p w:rsidR="00034735" w:rsidRPr="00A50911" w:rsidRDefault="00034735" w:rsidP="00122B9B">
            <w:pPr>
              <w:rPr>
                <w:rFonts w:ascii="Arial" w:hAnsi="Arial" w:cs="Arial"/>
                <w:lang w:eastAsia="es-CO"/>
              </w:rPr>
            </w:pPr>
            <w:r w:rsidRPr="00A50911">
              <w:rPr>
                <w:rFonts w:ascii="Arial" w:hAnsi="Arial" w:cs="Arial"/>
                <w:lang w:eastAsia="es-CO"/>
              </w:rPr>
              <w:t>$</w:t>
            </w:r>
            <w:r>
              <w:rPr>
                <w:rFonts w:ascii="Arial" w:hAnsi="Arial" w:cs="Arial"/>
                <w:lang w:eastAsia="es-CO"/>
              </w:rPr>
              <w:t xml:space="preserve"> </w:t>
            </w:r>
            <w:r w:rsidRPr="00A50911">
              <w:rPr>
                <w:rFonts w:ascii="Arial" w:hAnsi="Arial" w:cs="Arial"/>
                <w:lang w:eastAsia="es-CO"/>
              </w:rPr>
              <w:t xml:space="preserve"> 146.146.658 </w:t>
            </w:r>
          </w:p>
        </w:tc>
      </w:tr>
      <w:tr w:rsidR="00034735" w:rsidRPr="00A50911" w:rsidTr="00122B9B">
        <w:trPr>
          <w:trHeight w:val="300"/>
        </w:trPr>
        <w:tc>
          <w:tcPr>
            <w:tcW w:w="2480" w:type="dxa"/>
            <w:tcBorders>
              <w:top w:val="nil"/>
              <w:left w:val="single" w:sz="8" w:space="0" w:color="auto"/>
              <w:bottom w:val="nil"/>
              <w:right w:val="single" w:sz="4" w:space="0" w:color="auto"/>
            </w:tcBorders>
            <w:shd w:val="clear" w:color="auto" w:fill="auto"/>
            <w:noWrap/>
            <w:vAlign w:val="bottom"/>
            <w:hideMark/>
          </w:tcPr>
          <w:p w:rsidR="00034735" w:rsidRPr="00A50911" w:rsidRDefault="00034735" w:rsidP="00122B9B">
            <w:pPr>
              <w:rPr>
                <w:rFonts w:ascii="Arial" w:hAnsi="Arial" w:cs="Arial"/>
                <w:lang w:eastAsia="es-CO"/>
              </w:rPr>
            </w:pPr>
            <w:r w:rsidRPr="00A50911">
              <w:rPr>
                <w:rFonts w:ascii="Arial" w:hAnsi="Arial" w:cs="Arial"/>
                <w:lang w:eastAsia="es-CO"/>
              </w:rPr>
              <w:t>Voluntario</w:t>
            </w:r>
          </w:p>
        </w:tc>
        <w:tc>
          <w:tcPr>
            <w:tcW w:w="1324" w:type="dxa"/>
            <w:tcBorders>
              <w:top w:val="nil"/>
              <w:left w:val="single" w:sz="8" w:space="0" w:color="auto"/>
              <w:bottom w:val="single" w:sz="4" w:space="0" w:color="auto"/>
              <w:right w:val="single" w:sz="4" w:space="0" w:color="auto"/>
            </w:tcBorders>
            <w:shd w:val="clear" w:color="auto" w:fill="auto"/>
            <w:noWrap/>
            <w:vAlign w:val="bottom"/>
            <w:hideMark/>
          </w:tcPr>
          <w:p w:rsidR="00034735" w:rsidRPr="00A50911" w:rsidRDefault="00034735" w:rsidP="00122B9B">
            <w:pPr>
              <w:jc w:val="center"/>
              <w:rPr>
                <w:rFonts w:ascii="Arial" w:hAnsi="Arial" w:cs="Arial"/>
                <w:color w:val="000000"/>
                <w:lang w:eastAsia="es-CO"/>
              </w:rPr>
            </w:pPr>
            <w:r w:rsidRPr="00A50911">
              <w:rPr>
                <w:rFonts w:ascii="Arial" w:hAnsi="Arial" w:cs="Arial"/>
                <w:color w:val="000000"/>
                <w:lang w:eastAsia="es-CO"/>
              </w:rPr>
              <w:t>34</w:t>
            </w:r>
          </w:p>
        </w:tc>
        <w:tc>
          <w:tcPr>
            <w:tcW w:w="1998" w:type="dxa"/>
            <w:tcBorders>
              <w:top w:val="nil"/>
              <w:left w:val="nil"/>
              <w:bottom w:val="single" w:sz="4" w:space="0" w:color="auto"/>
              <w:right w:val="single" w:sz="8" w:space="0" w:color="auto"/>
            </w:tcBorders>
            <w:shd w:val="clear" w:color="auto" w:fill="auto"/>
            <w:noWrap/>
            <w:vAlign w:val="bottom"/>
            <w:hideMark/>
          </w:tcPr>
          <w:p w:rsidR="00034735" w:rsidRPr="00A50911" w:rsidRDefault="00034735" w:rsidP="00122B9B">
            <w:pPr>
              <w:rPr>
                <w:rFonts w:ascii="Arial" w:hAnsi="Arial" w:cs="Arial"/>
                <w:color w:val="000000"/>
                <w:lang w:eastAsia="es-CO"/>
              </w:rPr>
            </w:pPr>
            <w:r w:rsidRPr="00A50911">
              <w:rPr>
                <w:rFonts w:ascii="Arial" w:hAnsi="Arial" w:cs="Arial"/>
                <w:color w:val="000000"/>
                <w:lang w:eastAsia="es-CO"/>
              </w:rPr>
              <w:t xml:space="preserve">$     181.463.555 </w:t>
            </w:r>
          </w:p>
        </w:tc>
        <w:tc>
          <w:tcPr>
            <w:tcW w:w="1521" w:type="dxa"/>
            <w:tcBorders>
              <w:top w:val="nil"/>
              <w:left w:val="single" w:sz="4" w:space="0" w:color="auto"/>
              <w:bottom w:val="single" w:sz="4" w:space="0" w:color="auto"/>
              <w:right w:val="single" w:sz="4" w:space="0" w:color="auto"/>
            </w:tcBorders>
            <w:shd w:val="clear" w:color="auto" w:fill="auto"/>
            <w:noWrap/>
            <w:vAlign w:val="bottom"/>
            <w:hideMark/>
          </w:tcPr>
          <w:p w:rsidR="00034735" w:rsidRPr="00A50911" w:rsidRDefault="00034735" w:rsidP="00122B9B">
            <w:pPr>
              <w:jc w:val="center"/>
              <w:rPr>
                <w:rFonts w:ascii="Arial" w:hAnsi="Arial" w:cs="Arial"/>
                <w:lang w:eastAsia="es-CO"/>
              </w:rPr>
            </w:pPr>
            <w:r w:rsidRPr="00A50911">
              <w:rPr>
                <w:rFonts w:ascii="Arial" w:hAnsi="Arial" w:cs="Arial"/>
                <w:lang w:eastAsia="es-CO"/>
              </w:rPr>
              <w:t>30</w:t>
            </w:r>
          </w:p>
        </w:tc>
        <w:tc>
          <w:tcPr>
            <w:tcW w:w="2064" w:type="dxa"/>
            <w:tcBorders>
              <w:top w:val="nil"/>
              <w:left w:val="nil"/>
              <w:bottom w:val="single" w:sz="4" w:space="0" w:color="auto"/>
              <w:right w:val="single" w:sz="8" w:space="0" w:color="auto"/>
            </w:tcBorders>
            <w:shd w:val="clear" w:color="auto" w:fill="auto"/>
            <w:noWrap/>
            <w:vAlign w:val="bottom"/>
            <w:hideMark/>
          </w:tcPr>
          <w:p w:rsidR="00034735" w:rsidRPr="00A50911" w:rsidRDefault="00034735" w:rsidP="00122B9B">
            <w:pPr>
              <w:rPr>
                <w:rFonts w:ascii="Arial" w:hAnsi="Arial" w:cs="Arial"/>
                <w:lang w:eastAsia="es-CO"/>
              </w:rPr>
            </w:pPr>
            <w:r>
              <w:rPr>
                <w:rFonts w:ascii="Arial" w:hAnsi="Arial" w:cs="Arial"/>
                <w:lang w:eastAsia="es-CO"/>
              </w:rPr>
              <w:t xml:space="preserve">$    </w:t>
            </w:r>
            <w:r w:rsidRPr="00A50911">
              <w:rPr>
                <w:rFonts w:ascii="Arial" w:hAnsi="Arial" w:cs="Arial"/>
                <w:lang w:eastAsia="es-CO"/>
              </w:rPr>
              <w:t>89</w:t>
            </w:r>
            <w:r>
              <w:rPr>
                <w:rFonts w:ascii="Arial" w:hAnsi="Arial" w:cs="Arial"/>
                <w:lang w:eastAsia="es-CO"/>
              </w:rPr>
              <w:t>.</w:t>
            </w:r>
            <w:r w:rsidRPr="00A50911">
              <w:rPr>
                <w:rFonts w:ascii="Arial" w:hAnsi="Arial" w:cs="Arial"/>
                <w:lang w:eastAsia="es-CO"/>
              </w:rPr>
              <w:t>826</w:t>
            </w:r>
            <w:r>
              <w:rPr>
                <w:rFonts w:ascii="Arial" w:hAnsi="Arial" w:cs="Arial"/>
                <w:lang w:eastAsia="es-CO"/>
              </w:rPr>
              <w:t>.</w:t>
            </w:r>
            <w:r w:rsidRPr="00A50911">
              <w:rPr>
                <w:rFonts w:ascii="Arial" w:hAnsi="Arial" w:cs="Arial"/>
                <w:lang w:eastAsia="es-CO"/>
              </w:rPr>
              <w:t>155</w:t>
            </w:r>
          </w:p>
        </w:tc>
      </w:tr>
      <w:tr w:rsidR="00034735" w:rsidRPr="00A50911" w:rsidTr="00122B9B">
        <w:trPr>
          <w:trHeight w:val="315"/>
        </w:trPr>
        <w:tc>
          <w:tcPr>
            <w:tcW w:w="248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034735" w:rsidRPr="00A50911" w:rsidRDefault="00034735" w:rsidP="00122B9B">
            <w:pPr>
              <w:rPr>
                <w:rFonts w:ascii="Arial" w:hAnsi="Arial" w:cs="Arial"/>
                <w:color w:val="000000"/>
                <w:lang w:eastAsia="es-CO"/>
              </w:rPr>
            </w:pPr>
            <w:r w:rsidRPr="00A50911">
              <w:rPr>
                <w:rFonts w:ascii="Arial" w:hAnsi="Arial" w:cs="Arial"/>
                <w:color w:val="000000"/>
                <w:lang w:eastAsia="es-CO"/>
              </w:rPr>
              <w:t>INSUBSISTENCIA</w:t>
            </w:r>
          </w:p>
        </w:tc>
        <w:tc>
          <w:tcPr>
            <w:tcW w:w="1324" w:type="dxa"/>
            <w:tcBorders>
              <w:top w:val="nil"/>
              <w:left w:val="single" w:sz="8" w:space="0" w:color="auto"/>
              <w:bottom w:val="single" w:sz="8" w:space="0" w:color="auto"/>
              <w:right w:val="single" w:sz="4" w:space="0" w:color="auto"/>
            </w:tcBorders>
            <w:shd w:val="clear" w:color="auto" w:fill="auto"/>
            <w:noWrap/>
            <w:vAlign w:val="bottom"/>
            <w:hideMark/>
          </w:tcPr>
          <w:p w:rsidR="00034735" w:rsidRPr="00A50911" w:rsidRDefault="00034735" w:rsidP="00122B9B">
            <w:pPr>
              <w:jc w:val="center"/>
              <w:rPr>
                <w:rFonts w:ascii="Arial" w:hAnsi="Arial" w:cs="Arial"/>
                <w:color w:val="000000"/>
                <w:lang w:eastAsia="es-CO"/>
              </w:rPr>
            </w:pPr>
            <w:r w:rsidRPr="00A50911">
              <w:rPr>
                <w:rFonts w:ascii="Arial" w:hAnsi="Arial" w:cs="Arial"/>
                <w:color w:val="000000"/>
                <w:lang w:eastAsia="es-CO"/>
              </w:rPr>
              <w:t>1</w:t>
            </w:r>
          </w:p>
        </w:tc>
        <w:tc>
          <w:tcPr>
            <w:tcW w:w="1998" w:type="dxa"/>
            <w:tcBorders>
              <w:top w:val="nil"/>
              <w:left w:val="nil"/>
              <w:bottom w:val="single" w:sz="8" w:space="0" w:color="auto"/>
              <w:right w:val="single" w:sz="8" w:space="0" w:color="auto"/>
            </w:tcBorders>
            <w:shd w:val="clear" w:color="auto" w:fill="auto"/>
            <w:noWrap/>
            <w:vAlign w:val="bottom"/>
            <w:hideMark/>
          </w:tcPr>
          <w:p w:rsidR="00034735" w:rsidRPr="00A50911" w:rsidRDefault="00034735" w:rsidP="00122B9B">
            <w:pPr>
              <w:rPr>
                <w:rFonts w:ascii="Arial" w:hAnsi="Arial" w:cs="Arial"/>
                <w:color w:val="000000"/>
                <w:lang w:eastAsia="es-CO"/>
              </w:rPr>
            </w:pPr>
            <w:r w:rsidRPr="00A50911">
              <w:rPr>
                <w:rFonts w:ascii="Arial" w:hAnsi="Arial" w:cs="Arial"/>
                <w:color w:val="000000"/>
                <w:lang w:eastAsia="es-CO"/>
              </w:rPr>
              <w:t xml:space="preserve">$       17.184.080 </w:t>
            </w:r>
          </w:p>
        </w:tc>
        <w:tc>
          <w:tcPr>
            <w:tcW w:w="1521" w:type="dxa"/>
            <w:tcBorders>
              <w:top w:val="nil"/>
              <w:left w:val="single" w:sz="4" w:space="0" w:color="auto"/>
              <w:bottom w:val="single" w:sz="4" w:space="0" w:color="auto"/>
              <w:right w:val="single" w:sz="4" w:space="0" w:color="auto"/>
            </w:tcBorders>
            <w:shd w:val="clear" w:color="auto" w:fill="auto"/>
            <w:noWrap/>
            <w:vAlign w:val="bottom"/>
            <w:hideMark/>
          </w:tcPr>
          <w:p w:rsidR="00034735" w:rsidRPr="00A50911" w:rsidRDefault="00034735" w:rsidP="00122B9B">
            <w:pPr>
              <w:jc w:val="center"/>
              <w:rPr>
                <w:rFonts w:ascii="Arial" w:hAnsi="Arial" w:cs="Arial"/>
                <w:lang w:eastAsia="es-CO"/>
              </w:rPr>
            </w:pPr>
            <w:r w:rsidRPr="00A50911">
              <w:rPr>
                <w:rFonts w:ascii="Arial" w:hAnsi="Arial" w:cs="Arial"/>
                <w:lang w:eastAsia="es-CO"/>
              </w:rPr>
              <w:t>0</w:t>
            </w:r>
          </w:p>
        </w:tc>
        <w:tc>
          <w:tcPr>
            <w:tcW w:w="2064" w:type="dxa"/>
            <w:tcBorders>
              <w:top w:val="nil"/>
              <w:left w:val="nil"/>
              <w:bottom w:val="single" w:sz="4" w:space="0" w:color="auto"/>
              <w:right w:val="single" w:sz="8" w:space="0" w:color="auto"/>
            </w:tcBorders>
            <w:shd w:val="clear" w:color="auto" w:fill="auto"/>
            <w:noWrap/>
            <w:vAlign w:val="bottom"/>
            <w:hideMark/>
          </w:tcPr>
          <w:p w:rsidR="00034735" w:rsidRPr="00A50911" w:rsidRDefault="00034735" w:rsidP="00122B9B">
            <w:pPr>
              <w:rPr>
                <w:rFonts w:ascii="Arial" w:hAnsi="Arial" w:cs="Arial"/>
                <w:lang w:eastAsia="es-CO"/>
              </w:rPr>
            </w:pPr>
            <w:r>
              <w:rPr>
                <w:rFonts w:ascii="Arial" w:hAnsi="Arial" w:cs="Arial"/>
                <w:lang w:eastAsia="es-CO"/>
              </w:rPr>
              <w:t xml:space="preserve">$                    </w:t>
            </w:r>
            <w:r w:rsidRPr="00A50911">
              <w:rPr>
                <w:rFonts w:ascii="Arial" w:hAnsi="Arial" w:cs="Arial"/>
                <w:lang w:eastAsia="es-CO"/>
              </w:rPr>
              <w:t>0</w:t>
            </w:r>
          </w:p>
        </w:tc>
      </w:tr>
      <w:tr w:rsidR="00034735" w:rsidRPr="00A50911" w:rsidTr="00122B9B">
        <w:trPr>
          <w:trHeight w:val="390"/>
        </w:trPr>
        <w:tc>
          <w:tcPr>
            <w:tcW w:w="248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034735" w:rsidRPr="00A50911" w:rsidRDefault="00034735" w:rsidP="00122B9B">
            <w:pPr>
              <w:rPr>
                <w:rFonts w:ascii="Arial" w:hAnsi="Arial" w:cs="Arial"/>
                <w:b/>
                <w:bCs/>
                <w:color w:val="000000"/>
                <w:lang w:eastAsia="es-CO"/>
              </w:rPr>
            </w:pPr>
            <w:r w:rsidRPr="00A50911">
              <w:rPr>
                <w:rFonts w:ascii="Arial" w:hAnsi="Arial" w:cs="Arial"/>
                <w:b/>
                <w:bCs/>
                <w:color w:val="000000"/>
                <w:lang w:eastAsia="es-CO"/>
              </w:rPr>
              <w:t>TOTAL</w:t>
            </w:r>
          </w:p>
        </w:tc>
        <w:tc>
          <w:tcPr>
            <w:tcW w:w="1324" w:type="dxa"/>
            <w:tcBorders>
              <w:top w:val="nil"/>
              <w:left w:val="single" w:sz="8" w:space="0" w:color="auto"/>
              <w:bottom w:val="single" w:sz="8" w:space="0" w:color="auto"/>
              <w:right w:val="single" w:sz="4" w:space="0" w:color="auto"/>
            </w:tcBorders>
            <w:shd w:val="clear" w:color="auto" w:fill="auto"/>
            <w:noWrap/>
            <w:vAlign w:val="bottom"/>
            <w:hideMark/>
          </w:tcPr>
          <w:p w:rsidR="00034735" w:rsidRPr="00A50911" w:rsidRDefault="00034735" w:rsidP="00122B9B">
            <w:pPr>
              <w:jc w:val="center"/>
              <w:rPr>
                <w:rFonts w:ascii="Arial" w:hAnsi="Arial" w:cs="Arial"/>
                <w:lang w:eastAsia="es-CO"/>
              </w:rPr>
            </w:pPr>
            <w:r w:rsidRPr="00A50911">
              <w:rPr>
                <w:rFonts w:ascii="Arial" w:hAnsi="Arial" w:cs="Arial"/>
                <w:lang w:eastAsia="es-CO"/>
              </w:rPr>
              <w:t>416</w:t>
            </w:r>
          </w:p>
        </w:tc>
        <w:tc>
          <w:tcPr>
            <w:tcW w:w="1998" w:type="dxa"/>
            <w:tcBorders>
              <w:top w:val="nil"/>
              <w:left w:val="nil"/>
              <w:bottom w:val="single" w:sz="8" w:space="0" w:color="auto"/>
              <w:right w:val="single" w:sz="8" w:space="0" w:color="auto"/>
            </w:tcBorders>
            <w:shd w:val="clear" w:color="auto" w:fill="auto"/>
            <w:noWrap/>
            <w:vAlign w:val="bottom"/>
            <w:hideMark/>
          </w:tcPr>
          <w:p w:rsidR="00034735" w:rsidRPr="00A50911" w:rsidRDefault="00034735" w:rsidP="00122B9B">
            <w:pPr>
              <w:rPr>
                <w:rFonts w:ascii="Arial" w:hAnsi="Arial" w:cs="Arial"/>
                <w:b/>
                <w:lang w:eastAsia="es-CO"/>
              </w:rPr>
            </w:pPr>
            <w:r w:rsidRPr="00A50911">
              <w:rPr>
                <w:rFonts w:ascii="Arial" w:hAnsi="Arial" w:cs="Arial"/>
                <w:b/>
                <w:lang w:eastAsia="es-CO"/>
              </w:rPr>
              <w:t xml:space="preserve">$    931.026.917 </w:t>
            </w:r>
          </w:p>
        </w:tc>
        <w:tc>
          <w:tcPr>
            <w:tcW w:w="1521"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rsidR="00034735" w:rsidRPr="00A50911" w:rsidRDefault="00034735" w:rsidP="00122B9B">
            <w:pPr>
              <w:jc w:val="center"/>
              <w:rPr>
                <w:rFonts w:ascii="Arial" w:hAnsi="Arial" w:cs="Arial"/>
                <w:b/>
                <w:bCs/>
                <w:color w:val="000000"/>
                <w:lang w:eastAsia="es-CO"/>
              </w:rPr>
            </w:pPr>
            <w:r w:rsidRPr="00A50911">
              <w:rPr>
                <w:rFonts w:ascii="Arial" w:hAnsi="Arial" w:cs="Arial"/>
                <w:b/>
                <w:bCs/>
                <w:color w:val="000000"/>
                <w:lang w:eastAsia="es-CO"/>
              </w:rPr>
              <w:t>85</w:t>
            </w:r>
          </w:p>
        </w:tc>
        <w:tc>
          <w:tcPr>
            <w:tcW w:w="2064" w:type="dxa"/>
            <w:tcBorders>
              <w:top w:val="single" w:sz="8" w:space="0" w:color="auto"/>
              <w:left w:val="nil"/>
              <w:bottom w:val="single" w:sz="8" w:space="0" w:color="auto"/>
              <w:right w:val="single" w:sz="8" w:space="0" w:color="auto"/>
            </w:tcBorders>
            <w:shd w:val="clear" w:color="auto" w:fill="auto"/>
            <w:noWrap/>
            <w:vAlign w:val="bottom"/>
            <w:hideMark/>
          </w:tcPr>
          <w:p w:rsidR="00034735" w:rsidRPr="00A50911" w:rsidRDefault="00034735" w:rsidP="00122B9B">
            <w:pPr>
              <w:rPr>
                <w:rFonts w:ascii="Arial" w:hAnsi="Arial" w:cs="Arial"/>
                <w:b/>
                <w:bCs/>
                <w:color w:val="000000"/>
                <w:lang w:eastAsia="es-CO"/>
              </w:rPr>
            </w:pPr>
            <w:r w:rsidRPr="00A50911">
              <w:rPr>
                <w:rFonts w:ascii="Arial" w:hAnsi="Arial" w:cs="Arial"/>
                <w:b/>
                <w:bCs/>
                <w:color w:val="000000"/>
                <w:lang w:eastAsia="es-CO"/>
              </w:rPr>
              <w:t xml:space="preserve"> $  252.564.206 </w:t>
            </w:r>
          </w:p>
        </w:tc>
      </w:tr>
    </w:tbl>
    <w:p w:rsidR="00034735" w:rsidRPr="008A276C" w:rsidRDefault="00034735" w:rsidP="00034735">
      <w:pPr>
        <w:ind w:firstLine="709"/>
        <w:rPr>
          <w:rFonts w:ascii="Arial" w:hAnsi="Arial" w:cs="Arial"/>
          <w:sz w:val="16"/>
          <w:szCs w:val="24"/>
        </w:rPr>
      </w:pPr>
      <w:r w:rsidRPr="008A276C">
        <w:rPr>
          <w:rFonts w:ascii="Arial" w:hAnsi="Arial" w:cs="Arial"/>
          <w:sz w:val="16"/>
          <w:szCs w:val="24"/>
        </w:rPr>
        <w:t xml:space="preserve">Fuente: </w:t>
      </w:r>
      <w:r>
        <w:rPr>
          <w:rFonts w:ascii="Arial" w:hAnsi="Arial" w:cs="Arial"/>
          <w:sz w:val="16"/>
          <w:szCs w:val="24"/>
        </w:rPr>
        <w:t>Gestión Humana</w:t>
      </w:r>
      <w:r w:rsidRPr="008A276C">
        <w:rPr>
          <w:rFonts w:ascii="Arial" w:hAnsi="Arial" w:cs="Arial"/>
          <w:sz w:val="16"/>
          <w:szCs w:val="24"/>
        </w:rPr>
        <w:t xml:space="preserve"> – OCIG</w:t>
      </w:r>
    </w:p>
    <w:p w:rsidR="00034735" w:rsidRDefault="00335744" w:rsidP="00034735">
      <w:pPr>
        <w:jc w:val="both"/>
        <w:rPr>
          <w:rFonts w:ascii="Arial" w:eastAsia="Calibri" w:hAnsi="Arial" w:cs="Arial"/>
          <w:sz w:val="24"/>
          <w:szCs w:val="24"/>
        </w:rPr>
      </w:pPr>
      <w:r>
        <w:rPr>
          <w:rFonts w:ascii="Arial" w:eastAsia="Calibri" w:hAnsi="Arial" w:cs="Arial"/>
          <w:sz w:val="24"/>
          <w:szCs w:val="24"/>
        </w:rPr>
        <w:t>En la tabla N. 1</w:t>
      </w:r>
      <w:r w:rsidR="00034735" w:rsidRPr="00A50911">
        <w:rPr>
          <w:rFonts w:ascii="Arial" w:eastAsia="Calibri" w:hAnsi="Arial" w:cs="Arial"/>
          <w:sz w:val="24"/>
          <w:szCs w:val="24"/>
        </w:rPr>
        <w:t>Se presenta el resumen de la información relacionada con este rubro a manera de comparativo de las vigencias 2018 vs 2019, partiendo de lo reportado por la Gerencia de Gestión Humana durante esas dos vigencias.</w:t>
      </w:r>
    </w:p>
    <w:p w:rsidR="00034735" w:rsidRPr="00A50911" w:rsidRDefault="00034735" w:rsidP="00034735">
      <w:pPr>
        <w:jc w:val="both"/>
        <w:rPr>
          <w:rFonts w:ascii="Arial" w:eastAsia="Calibri" w:hAnsi="Arial" w:cs="Arial"/>
          <w:sz w:val="24"/>
          <w:szCs w:val="24"/>
        </w:rPr>
      </w:pPr>
      <w:r>
        <w:rPr>
          <w:rFonts w:ascii="Arial" w:eastAsia="Calibri" w:hAnsi="Arial" w:cs="Arial"/>
          <w:sz w:val="24"/>
          <w:szCs w:val="24"/>
        </w:rPr>
        <w:t>Se observa una reducción del 63% en el gasto correspondiente a vacaciones compensadas, que obedeció principalmente al comportamiento por concepto de terminación de relación contractual en la vigencia 2018.</w:t>
      </w:r>
    </w:p>
    <w:p w:rsidR="00034735" w:rsidRPr="008A276C" w:rsidRDefault="00034735" w:rsidP="00034735">
      <w:pPr>
        <w:jc w:val="both"/>
        <w:rPr>
          <w:rFonts w:ascii="Arial" w:eastAsia="Calibri" w:hAnsi="Arial" w:cs="Arial"/>
          <w:sz w:val="24"/>
          <w:szCs w:val="24"/>
        </w:rPr>
      </w:pPr>
    </w:p>
    <w:p w:rsidR="00034735" w:rsidRPr="00C46587" w:rsidRDefault="00C46587" w:rsidP="006F14B7">
      <w:pPr>
        <w:pStyle w:val="Ttulo2"/>
        <w:rPr>
          <w:sz w:val="22"/>
          <w:szCs w:val="22"/>
        </w:rPr>
      </w:pPr>
      <w:r w:rsidRPr="00C46587">
        <w:rPr>
          <w:sz w:val="22"/>
          <w:szCs w:val="22"/>
        </w:rPr>
        <w:t>-</w:t>
      </w:r>
      <w:r w:rsidR="00034735" w:rsidRPr="00C46587">
        <w:rPr>
          <w:sz w:val="22"/>
          <w:szCs w:val="22"/>
        </w:rPr>
        <w:t xml:space="preserve"> Combustible</w:t>
      </w:r>
    </w:p>
    <w:p w:rsidR="00034735" w:rsidRPr="00CE53D0" w:rsidRDefault="00034735" w:rsidP="00CE53D0">
      <w:pPr>
        <w:pStyle w:val="Descripcin"/>
        <w:keepNext/>
        <w:numPr>
          <w:ilvl w:val="0"/>
          <w:numId w:val="7"/>
        </w:numPr>
        <w:spacing w:before="240" w:after="240"/>
        <w:ind w:left="714" w:hanging="357"/>
        <w:rPr>
          <w:b/>
          <w:color w:val="auto"/>
          <w:sz w:val="24"/>
        </w:rPr>
      </w:pPr>
      <w:r w:rsidRPr="00CE53D0">
        <w:rPr>
          <w:b/>
          <w:color w:val="auto"/>
          <w:sz w:val="24"/>
        </w:rPr>
        <w:t>Ilustración 3. Costo Combustible 2018 vs. 2019</w:t>
      </w:r>
    </w:p>
    <w:p w:rsidR="00034735" w:rsidRPr="008C4916" w:rsidRDefault="00034735" w:rsidP="00034735">
      <w:pPr>
        <w:jc w:val="center"/>
      </w:pPr>
      <w:r>
        <w:rPr>
          <w:noProof/>
          <w:lang w:eastAsia="es-CO"/>
        </w:rPr>
        <w:drawing>
          <wp:inline distT="0" distB="0" distL="0" distR="0" wp14:anchorId="199B48BD" wp14:editId="75424AD5">
            <wp:extent cx="4572000" cy="2743200"/>
            <wp:effectExtent l="0" t="0" r="0" b="0"/>
            <wp:docPr id="4"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034735" w:rsidRPr="00BD30A6" w:rsidRDefault="00034735" w:rsidP="00034735">
      <w:pPr>
        <w:ind w:firstLine="709"/>
        <w:rPr>
          <w:rFonts w:ascii="Arial" w:hAnsi="Arial" w:cs="Arial"/>
          <w:sz w:val="16"/>
          <w:szCs w:val="24"/>
        </w:rPr>
      </w:pPr>
      <w:r w:rsidRPr="00BD30A6">
        <w:rPr>
          <w:rFonts w:ascii="Arial" w:hAnsi="Arial" w:cs="Arial"/>
          <w:sz w:val="16"/>
          <w:szCs w:val="24"/>
        </w:rPr>
        <w:t>Fuente: Dirección de Servicios Administrativos – OCIG</w:t>
      </w:r>
    </w:p>
    <w:p w:rsidR="00034735" w:rsidRPr="008B7D12" w:rsidRDefault="00034735" w:rsidP="00034735">
      <w:pPr>
        <w:rPr>
          <w:rFonts w:ascii="Arial" w:hAnsi="Arial" w:cs="Arial"/>
          <w:sz w:val="24"/>
          <w:lang w:val="es-ES"/>
        </w:rPr>
      </w:pPr>
    </w:p>
    <w:p w:rsidR="00034735" w:rsidRPr="006C5779" w:rsidRDefault="00034735" w:rsidP="00034735">
      <w:pPr>
        <w:pStyle w:val="Descripcin"/>
        <w:keepNext/>
        <w:rPr>
          <w:b/>
          <w:i w:val="0"/>
          <w:color w:val="auto"/>
          <w:sz w:val="24"/>
        </w:rPr>
      </w:pPr>
      <w:r w:rsidRPr="006C5779">
        <w:rPr>
          <w:b/>
          <w:i w:val="0"/>
          <w:color w:val="auto"/>
          <w:sz w:val="24"/>
        </w:rPr>
        <w:t xml:space="preserve">Tabla </w:t>
      </w:r>
      <w:r w:rsidRPr="006C5779">
        <w:rPr>
          <w:b/>
          <w:i w:val="0"/>
          <w:color w:val="auto"/>
          <w:sz w:val="24"/>
        </w:rPr>
        <w:fldChar w:fldCharType="begin"/>
      </w:r>
      <w:r w:rsidRPr="006C5779">
        <w:rPr>
          <w:b/>
          <w:i w:val="0"/>
          <w:color w:val="auto"/>
          <w:sz w:val="24"/>
        </w:rPr>
        <w:instrText xml:space="preserve"> SEQ Tabla \* ARABIC </w:instrText>
      </w:r>
      <w:r w:rsidRPr="006C5779">
        <w:rPr>
          <w:b/>
          <w:i w:val="0"/>
          <w:color w:val="auto"/>
          <w:sz w:val="24"/>
        </w:rPr>
        <w:fldChar w:fldCharType="separate"/>
      </w:r>
      <w:r w:rsidRPr="006C5779">
        <w:rPr>
          <w:b/>
          <w:i w:val="0"/>
          <w:noProof/>
          <w:color w:val="auto"/>
          <w:sz w:val="24"/>
        </w:rPr>
        <w:t>2</w:t>
      </w:r>
      <w:r w:rsidRPr="006C5779">
        <w:rPr>
          <w:b/>
          <w:i w:val="0"/>
          <w:color w:val="auto"/>
          <w:sz w:val="24"/>
        </w:rPr>
        <w:fldChar w:fldCharType="end"/>
      </w:r>
      <w:r w:rsidRPr="006C5779">
        <w:rPr>
          <w:b/>
          <w:i w:val="0"/>
          <w:color w:val="auto"/>
          <w:sz w:val="24"/>
        </w:rPr>
        <w:t>. Comparativo flota EAAB 2018 vs. 2019</w:t>
      </w:r>
    </w:p>
    <w:tbl>
      <w:tblPr>
        <w:tblW w:w="5000" w:type="pct"/>
        <w:jc w:val="center"/>
        <w:tblCellMar>
          <w:left w:w="70" w:type="dxa"/>
          <w:right w:w="70" w:type="dxa"/>
        </w:tblCellMar>
        <w:tblLook w:val="04A0" w:firstRow="1" w:lastRow="0" w:firstColumn="1" w:lastColumn="0" w:noHBand="0" w:noVBand="1"/>
      </w:tblPr>
      <w:tblGrid>
        <w:gridCol w:w="1708"/>
        <w:gridCol w:w="876"/>
        <w:gridCol w:w="1822"/>
        <w:gridCol w:w="837"/>
        <w:gridCol w:w="876"/>
        <w:gridCol w:w="1862"/>
        <w:gridCol w:w="837"/>
      </w:tblGrid>
      <w:tr w:rsidR="00034735" w:rsidRPr="006C5779" w:rsidTr="00122B9B">
        <w:trPr>
          <w:trHeight w:val="315"/>
          <w:jc w:val="center"/>
        </w:trPr>
        <w:tc>
          <w:tcPr>
            <w:tcW w:w="957" w:type="pct"/>
            <w:tcBorders>
              <w:top w:val="single" w:sz="8" w:space="0" w:color="auto"/>
              <w:left w:val="single" w:sz="8" w:space="0" w:color="auto"/>
              <w:bottom w:val="nil"/>
              <w:right w:val="nil"/>
            </w:tcBorders>
            <w:shd w:val="clear" w:color="auto" w:fill="auto"/>
            <w:noWrap/>
            <w:vAlign w:val="bottom"/>
            <w:hideMark/>
          </w:tcPr>
          <w:p w:rsidR="00034735" w:rsidRPr="006C5779" w:rsidRDefault="00034735" w:rsidP="00122B9B">
            <w:pPr>
              <w:rPr>
                <w:rFonts w:ascii="Arial" w:hAnsi="Arial" w:cs="Arial"/>
                <w:color w:val="000000"/>
                <w:lang w:eastAsia="es-CO"/>
              </w:rPr>
            </w:pPr>
            <w:r w:rsidRPr="006C5779">
              <w:rPr>
                <w:rFonts w:ascii="Arial" w:hAnsi="Arial" w:cs="Arial"/>
                <w:color w:val="000000"/>
                <w:lang w:eastAsia="es-CO"/>
              </w:rPr>
              <w:t> </w:t>
            </w:r>
          </w:p>
        </w:tc>
        <w:tc>
          <w:tcPr>
            <w:tcW w:w="2021" w:type="pct"/>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034735" w:rsidRPr="006C5779" w:rsidRDefault="00034735" w:rsidP="00122B9B">
            <w:pPr>
              <w:jc w:val="center"/>
              <w:rPr>
                <w:rFonts w:ascii="Arial" w:hAnsi="Arial" w:cs="Arial"/>
                <w:color w:val="000000"/>
                <w:lang w:eastAsia="es-CO"/>
              </w:rPr>
            </w:pPr>
            <w:r w:rsidRPr="006C5779">
              <w:rPr>
                <w:rFonts w:ascii="Arial" w:hAnsi="Arial" w:cs="Arial"/>
                <w:color w:val="000000"/>
                <w:lang w:eastAsia="es-CO"/>
              </w:rPr>
              <w:t>2018</w:t>
            </w:r>
          </w:p>
        </w:tc>
        <w:tc>
          <w:tcPr>
            <w:tcW w:w="2021" w:type="pct"/>
            <w:gridSpan w:val="3"/>
            <w:tcBorders>
              <w:top w:val="single" w:sz="8" w:space="0" w:color="auto"/>
              <w:left w:val="nil"/>
              <w:bottom w:val="single" w:sz="8" w:space="0" w:color="auto"/>
              <w:right w:val="single" w:sz="8" w:space="0" w:color="000000"/>
            </w:tcBorders>
            <w:shd w:val="clear" w:color="auto" w:fill="auto"/>
            <w:noWrap/>
            <w:vAlign w:val="bottom"/>
            <w:hideMark/>
          </w:tcPr>
          <w:p w:rsidR="00034735" w:rsidRPr="006C5779" w:rsidRDefault="00034735" w:rsidP="00122B9B">
            <w:pPr>
              <w:jc w:val="center"/>
              <w:rPr>
                <w:rFonts w:ascii="Arial" w:hAnsi="Arial" w:cs="Arial"/>
                <w:color w:val="000000"/>
                <w:lang w:eastAsia="es-CO"/>
              </w:rPr>
            </w:pPr>
            <w:r w:rsidRPr="006C5779">
              <w:rPr>
                <w:rFonts w:ascii="Arial" w:hAnsi="Arial" w:cs="Arial"/>
                <w:color w:val="000000"/>
                <w:lang w:eastAsia="es-CO"/>
              </w:rPr>
              <w:t>2019</w:t>
            </w:r>
          </w:p>
        </w:tc>
      </w:tr>
      <w:tr w:rsidR="00034735" w:rsidRPr="006C5779" w:rsidTr="00122B9B">
        <w:trPr>
          <w:trHeight w:val="315"/>
          <w:jc w:val="center"/>
        </w:trPr>
        <w:tc>
          <w:tcPr>
            <w:tcW w:w="957" w:type="pct"/>
            <w:tcBorders>
              <w:top w:val="single" w:sz="8" w:space="0" w:color="auto"/>
              <w:left w:val="single" w:sz="8" w:space="0" w:color="auto"/>
              <w:bottom w:val="single" w:sz="8" w:space="0" w:color="auto"/>
              <w:right w:val="single" w:sz="4" w:space="0" w:color="auto"/>
            </w:tcBorders>
            <w:shd w:val="clear" w:color="auto" w:fill="auto"/>
            <w:noWrap/>
            <w:vAlign w:val="bottom"/>
            <w:hideMark/>
          </w:tcPr>
          <w:p w:rsidR="00034735" w:rsidRPr="006C5779" w:rsidRDefault="00034735" w:rsidP="00122B9B">
            <w:pPr>
              <w:rPr>
                <w:rFonts w:ascii="Arial" w:hAnsi="Arial" w:cs="Arial"/>
                <w:color w:val="000000"/>
                <w:lang w:eastAsia="es-CO"/>
              </w:rPr>
            </w:pPr>
            <w:r w:rsidRPr="006C5779">
              <w:rPr>
                <w:rFonts w:ascii="Arial" w:hAnsi="Arial" w:cs="Arial"/>
                <w:color w:val="000000"/>
                <w:lang w:eastAsia="es-CO"/>
              </w:rPr>
              <w:t>VEHICULOS</w:t>
            </w:r>
          </w:p>
        </w:tc>
        <w:tc>
          <w:tcPr>
            <w:tcW w:w="489" w:type="pct"/>
            <w:tcBorders>
              <w:top w:val="nil"/>
              <w:left w:val="nil"/>
              <w:bottom w:val="single" w:sz="8" w:space="0" w:color="auto"/>
              <w:right w:val="single" w:sz="4" w:space="0" w:color="auto"/>
            </w:tcBorders>
            <w:shd w:val="clear" w:color="auto" w:fill="auto"/>
            <w:noWrap/>
            <w:vAlign w:val="bottom"/>
            <w:hideMark/>
          </w:tcPr>
          <w:p w:rsidR="00034735" w:rsidRPr="006C5779" w:rsidRDefault="00034735" w:rsidP="00122B9B">
            <w:pPr>
              <w:rPr>
                <w:rFonts w:ascii="Arial" w:hAnsi="Arial" w:cs="Arial"/>
                <w:color w:val="000000"/>
                <w:lang w:eastAsia="es-CO"/>
              </w:rPr>
            </w:pPr>
            <w:r w:rsidRPr="006C5779">
              <w:rPr>
                <w:rFonts w:ascii="Arial" w:hAnsi="Arial" w:cs="Arial"/>
                <w:color w:val="000000"/>
                <w:lang w:eastAsia="es-CO"/>
              </w:rPr>
              <w:t>CANTIDAD</w:t>
            </w:r>
          </w:p>
        </w:tc>
        <w:tc>
          <w:tcPr>
            <w:tcW w:w="1066" w:type="pct"/>
            <w:tcBorders>
              <w:top w:val="nil"/>
              <w:left w:val="nil"/>
              <w:bottom w:val="single" w:sz="8" w:space="0" w:color="auto"/>
              <w:right w:val="single" w:sz="4" w:space="0" w:color="auto"/>
            </w:tcBorders>
            <w:shd w:val="clear" w:color="auto" w:fill="auto"/>
            <w:noWrap/>
            <w:vAlign w:val="bottom"/>
            <w:hideMark/>
          </w:tcPr>
          <w:p w:rsidR="00034735" w:rsidRPr="006C5779" w:rsidRDefault="00034735" w:rsidP="00122B9B">
            <w:pPr>
              <w:rPr>
                <w:rFonts w:ascii="Arial" w:hAnsi="Arial" w:cs="Arial"/>
                <w:color w:val="000000"/>
                <w:lang w:eastAsia="es-CO"/>
              </w:rPr>
            </w:pPr>
            <w:r w:rsidRPr="006C5779">
              <w:rPr>
                <w:rFonts w:ascii="Arial" w:hAnsi="Arial" w:cs="Arial"/>
                <w:color w:val="000000"/>
                <w:lang w:eastAsia="es-CO"/>
              </w:rPr>
              <w:t>VALOR</w:t>
            </w:r>
          </w:p>
        </w:tc>
        <w:tc>
          <w:tcPr>
            <w:tcW w:w="467" w:type="pct"/>
            <w:tcBorders>
              <w:top w:val="nil"/>
              <w:left w:val="nil"/>
              <w:bottom w:val="single" w:sz="8" w:space="0" w:color="auto"/>
              <w:right w:val="single" w:sz="4" w:space="0" w:color="auto"/>
            </w:tcBorders>
            <w:shd w:val="clear" w:color="auto" w:fill="auto"/>
            <w:noWrap/>
            <w:vAlign w:val="bottom"/>
            <w:hideMark/>
          </w:tcPr>
          <w:p w:rsidR="00034735" w:rsidRPr="006C5779" w:rsidRDefault="00034735" w:rsidP="00122B9B">
            <w:pPr>
              <w:rPr>
                <w:rFonts w:ascii="Arial" w:hAnsi="Arial" w:cs="Arial"/>
                <w:color w:val="000000"/>
                <w:lang w:eastAsia="es-CO"/>
              </w:rPr>
            </w:pPr>
            <w:r w:rsidRPr="006C5779">
              <w:rPr>
                <w:rFonts w:ascii="Arial" w:hAnsi="Arial" w:cs="Arial"/>
                <w:color w:val="000000"/>
                <w:lang w:eastAsia="es-CO"/>
              </w:rPr>
              <w:t>GALONES</w:t>
            </w:r>
          </w:p>
        </w:tc>
        <w:tc>
          <w:tcPr>
            <w:tcW w:w="489" w:type="pct"/>
            <w:tcBorders>
              <w:top w:val="nil"/>
              <w:left w:val="nil"/>
              <w:bottom w:val="single" w:sz="8" w:space="0" w:color="auto"/>
              <w:right w:val="single" w:sz="4" w:space="0" w:color="auto"/>
            </w:tcBorders>
            <w:shd w:val="clear" w:color="auto" w:fill="auto"/>
            <w:noWrap/>
            <w:vAlign w:val="bottom"/>
            <w:hideMark/>
          </w:tcPr>
          <w:p w:rsidR="00034735" w:rsidRPr="006C5779" w:rsidRDefault="00034735" w:rsidP="00122B9B">
            <w:pPr>
              <w:rPr>
                <w:rFonts w:ascii="Arial" w:hAnsi="Arial" w:cs="Arial"/>
                <w:color w:val="000000"/>
                <w:lang w:eastAsia="es-CO"/>
              </w:rPr>
            </w:pPr>
            <w:r w:rsidRPr="006C5779">
              <w:rPr>
                <w:rFonts w:ascii="Arial" w:hAnsi="Arial" w:cs="Arial"/>
                <w:color w:val="000000"/>
                <w:lang w:eastAsia="es-CO"/>
              </w:rPr>
              <w:t>CANTIDAD</w:t>
            </w:r>
          </w:p>
        </w:tc>
        <w:tc>
          <w:tcPr>
            <w:tcW w:w="1066" w:type="pct"/>
            <w:tcBorders>
              <w:top w:val="nil"/>
              <w:left w:val="nil"/>
              <w:bottom w:val="single" w:sz="8" w:space="0" w:color="auto"/>
              <w:right w:val="single" w:sz="4" w:space="0" w:color="auto"/>
            </w:tcBorders>
            <w:shd w:val="clear" w:color="auto" w:fill="auto"/>
            <w:noWrap/>
            <w:vAlign w:val="bottom"/>
            <w:hideMark/>
          </w:tcPr>
          <w:p w:rsidR="00034735" w:rsidRPr="006C5779" w:rsidRDefault="00034735" w:rsidP="00122B9B">
            <w:pPr>
              <w:rPr>
                <w:rFonts w:ascii="Arial" w:hAnsi="Arial" w:cs="Arial"/>
                <w:color w:val="000000"/>
                <w:lang w:eastAsia="es-CO"/>
              </w:rPr>
            </w:pPr>
            <w:r w:rsidRPr="006C5779">
              <w:rPr>
                <w:rFonts w:ascii="Arial" w:hAnsi="Arial" w:cs="Arial"/>
                <w:color w:val="000000"/>
                <w:lang w:eastAsia="es-CO"/>
              </w:rPr>
              <w:t>VALOR</w:t>
            </w:r>
          </w:p>
        </w:tc>
        <w:tc>
          <w:tcPr>
            <w:tcW w:w="467" w:type="pct"/>
            <w:tcBorders>
              <w:top w:val="nil"/>
              <w:left w:val="nil"/>
              <w:bottom w:val="single" w:sz="8" w:space="0" w:color="auto"/>
              <w:right w:val="single" w:sz="8" w:space="0" w:color="auto"/>
            </w:tcBorders>
            <w:shd w:val="clear" w:color="auto" w:fill="auto"/>
            <w:noWrap/>
            <w:vAlign w:val="bottom"/>
            <w:hideMark/>
          </w:tcPr>
          <w:p w:rsidR="00034735" w:rsidRPr="006C5779" w:rsidRDefault="00034735" w:rsidP="00122B9B">
            <w:pPr>
              <w:rPr>
                <w:rFonts w:ascii="Arial" w:hAnsi="Arial" w:cs="Arial"/>
                <w:color w:val="000000"/>
                <w:lang w:eastAsia="es-CO"/>
              </w:rPr>
            </w:pPr>
            <w:r w:rsidRPr="006C5779">
              <w:rPr>
                <w:rFonts w:ascii="Arial" w:hAnsi="Arial" w:cs="Arial"/>
                <w:color w:val="000000"/>
                <w:lang w:eastAsia="es-CO"/>
              </w:rPr>
              <w:t>GALONES</w:t>
            </w:r>
          </w:p>
        </w:tc>
      </w:tr>
      <w:tr w:rsidR="00034735" w:rsidRPr="006C5779" w:rsidTr="00122B9B">
        <w:trPr>
          <w:trHeight w:val="300"/>
          <w:jc w:val="center"/>
        </w:trPr>
        <w:tc>
          <w:tcPr>
            <w:tcW w:w="957" w:type="pct"/>
            <w:tcBorders>
              <w:top w:val="nil"/>
              <w:left w:val="single" w:sz="8" w:space="0" w:color="auto"/>
              <w:bottom w:val="single" w:sz="4" w:space="0" w:color="auto"/>
              <w:right w:val="single" w:sz="4" w:space="0" w:color="auto"/>
            </w:tcBorders>
            <w:shd w:val="clear" w:color="auto" w:fill="auto"/>
            <w:noWrap/>
            <w:vAlign w:val="bottom"/>
            <w:hideMark/>
          </w:tcPr>
          <w:p w:rsidR="00034735" w:rsidRPr="006C5779" w:rsidRDefault="00034735" w:rsidP="00122B9B">
            <w:pPr>
              <w:rPr>
                <w:rFonts w:ascii="Arial" w:hAnsi="Arial" w:cs="Arial"/>
                <w:color w:val="000000"/>
                <w:lang w:eastAsia="es-CO"/>
              </w:rPr>
            </w:pPr>
            <w:r w:rsidRPr="006C5779">
              <w:rPr>
                <w:rFonts w:ascii="Arial" w:hAnsi="Arial" w:cs="Arial"/>
                <w:color w:val="000000"/>
                <w:lang w:eastAsia="es-CO"/>
              </w:rPr>
              <w:t>PROPIOS</w:t>
            </w:r>
          </w:p>
        </w:tc>
        <w:tc>
          <w:tcPr>
            <w:tcW w:w="489" w:type="pct"/>
            <w:tcBorders>
              <w:top w:val="nil"/>
              <w:left w:val="nil"/>
              <w:bottom w:val="single" w:sz="4" w:space="0" w:color="auto"/>
              <w:right w:val="single" w:sz="4" w:space="0" w:color="auto"/>
            </w:tcBorders>
            <w:shd w:val="clear" w:color="auto" w:fill="auto"/>
            <w:noWrap/>
            <w:vAlign w:val="bottom"/>
            <w:hideMark/>
          </w:tcPr>
          <w:p w:rsidR="00034735" w:rsidRPr="006C5779" w:rsidRDefault="00034735" w:rsidP="00122B9B">
            <w:pPr>
              <w:jc w:val="right"/>
              <w:rPr>
                <w:rFonts w:ascii="Arial" w:hAnsi="Arial" w:cs="Arial"/>
                <w:color w:val="000000"/>
                <w:lang w:eastAsia="es-CO"/>
              </w:rPr>
            </w:pPr>
            <w:r w:rsidRPr="006C5779">
              <w:rPr>
                <w:rFonts w:ascii="Arial" w:hAnsi="Arial" w:cs="Arial"/>
                <w:color w:val="000000"/>
                <w:lang w:eastAsia="es-CO"/>
              </w:rPr>
              <w:t>518</w:t>
            </w:r>
          </w:p>
        </w:tc>
        <w:tc>
          <w:tcPr>
            <w:tcW w:w="1066" w:type="pct"/>
            <w:tcBorders>
              <w:top w:val="nil"/>
              <w:left w:val="nil"/>
              <w:bottom w:val="single" w:sz="4" w:space="0" w:color="auto"/>
              <w:right w:val="single" w:sz="4" w:space="0" w:color="auto"/>
            </w:tcBorders>
            <w:shd w:val="clear" w:color="auto" w:fill="auto"/>
            <w:noWrap/>
            <w:vAlign w:val="bottom"/>
            <w:hideMark/>
          </w:tcPr>
          <w:p w:rsidR="00034735" w:rsidRPr="006C5779" w:rsidRDefault="00034735" w:rsidP="00122B9B">
            <w:pPr>
              <w:rPr>
                <w:rFonts w:ascii="Arial" w:hAnsi="Arial" w:cs="Arial"/>
                <w:color w:val="000000"/>
                <w:lang w:eastAsia="es-CO"/>
              </w:rPr>
            </w:pPr>
            <w:r w:rsidRPr="006C5779">
              <w:rPr>
                <w:rFonts w:ascii="Arial" w:hAnsi="Arial" w:cs="Arial"/>
                <w:color w:val="000000"/>
                <w:lang w:eastAsia="es-CO"/>
              </w:rPr>
              <w:t xml:space="preserve">$   2.100.651.008 </w:t>
            </w:r>
          </w:p>
        </w:tc>
        <w:tc>
          <w:tcPr>
            <w:tcW w:w="467" w:type="pct"/>
            <w:tcBorders>
              <w:top w:val="nil"/>
              <w:left w:val="nil"/>
              <w:bottom w:val="single" w:sz="4" w:space="0" w:color="auto"/>
              <w:right w:val="single" w:sz="4" w:space="0" w:color="auto"/>
            </w:tcBorders>
            <w:shd w:val="clear" w:color="auto" w:fill="auto"/>
            <w:noWrap/>
            <w:vAlign w:val="bottom"/>
            <w:hideMark/>
          </w:tcPr>
          <w:p w:rsidR="00034735" w:rsidRPr="006C5779" w:rsidRDefault="00034735" w:rsidP="00122B9B">
            <w:pPr>
              <w:jc w:val="right"/>
              <w:rPr>
                <w:rFonts w:ascii="Arial" w:hAnsi="Arial" w:cs="Arial"/>
                <w:color w:val="000000"/>
                <w:lang w:eastAsia="es-CO"/>
              </w:rPr>
            </w:pPr>
            <w:r w:rsidRPr="006C5779">
              <w:rPr>
                <w:rFonts w:ascii="Arial" w:hAnsi="Arial" w:cs="Arial"/>
                <w:color w:val="000000"/>
                <w:lang w:eastAsia="es-CO"/>
              </w:rPr>
              <w:t>247875</w:t>
            </w:r>
          </w:p>
        </w:tc>
        <w:tc>
          <w:tcPr>
            <w:tcW w:w="489" w:type="pct"/>
            <w:tcBorders>
              <w:top w:val="nil"/>
              <w:left w:val="nil"/>
              <w:bottom w:val="single" w:sz="4" w:space="0" w:color="auto"/>
              <w:right w:val="single" w:sz="4" w:space="0" w:color="auto"/>
            </w:tcBorders>
            <w:shd w:val="clear" w:color="auto" w:fill="auto"/>
            <w:noWrap/>
            <w:vAlign w:val="bottom"/>
            <w:hideMark/>
          </w:tcPr>
          <w:p w:rsidR="00034735" w:rsidRPr="006C5779" w:rsidRDefault="00034735" w:rsidP="00122B9B">
            <w:pPr>
              <w:jc w:val="right"/>
              <w:rPr>
                <w:rFonts w:ascii="Arial" w:hAnsi="Arial" w:cs="Arial"/>
                <w:color w:val="000000"/>
                <w:lang w:eastAsia="es-CO"/>
              </w:rPr>
            </w:pPr>
            <w:r w:rsidRPr="006C5779">
              <w:rPr>
                <w:rFonts w:ascii="Arial" w:hAnsi="Arial" w:cs="Arial"/>
                <w:color w:val="000000"/>
                <w:lang w:eastAsia="es-CO"/>
              </w:rPr>
              <w:t>589</w:t>
            </w:r>
          </w:p>
        </w:tc>
        <w:tc>
          <w:tcPr>
            <w:tcW w:w="1066" w:type="pct"/>
            <w:tcBorders>
              <w:top w:val="single" w:sz="4" w:space="0" w:color="auto"/>
              <w:left w:val="nil"/>
              <w:bottom w:val="nil"/>
              <w:right w:val="single" w:sz="4" w:space="0" w:color="auto"/>
            </w:tcBorders>
            <w:shd w:val="clear" w:color="auto" w:fill="auto"/>
            <w:noWrap/>
            <w:vAlign w:val="bottom"/>
            <w:hideMark/>
          </w:tcPr>
          <w:p w:rsidR="00034735" w:rsidRPr="006C5779" w:rsidRDefault="00034735" w:rsidP="00122B9B">
            <w:pPr>
              <w:rPr>
                <w:rFonts w:ascii="Arial" w:hAnsi="Arial" w:cs="Arial"/>
                <w:color w:val="000000"/>
                <w:lang w:eastAsia="es-CO"/>
              </w:rPr>
            </w:pPr>
            <w:r>
              <w:rPr>
                <w:rFonts w:ascii="Arial" w:hAnsi="Arial" w:cs="Arial"/>
                <w:color w:val="000000"/>
                <w:lang w:eastAsia="es-CO"/>
              </w:rPr>
              <w:t xml:space="preserve"> $</w:t>
            </w:r>
            <w:r w:rsidRPr="006C5779">
              <w:rPr>
                <w:rFonts w:ascii="Arial" w:hAnsi="Arial" w:cs="Arial"/>
                <w:color w:val="000000"/>
                <w:lang w:eastAsia="es-CO"/>
              </w:rPr>
              <w:t xml:space="preserve">   2.281.559.316 </w:t>
            </w:r>
          </w:p>
        </w:tc>
        <w:tc>
          <w:tcPr>
            <w:tcW w:w="467" w:type="pct"/>
            <w:tcBorders>
              <w:top w:val="nil"/>
              <w:left w:val="nil"/>
              <w:bottom w:val="single" w:sz="4" w:space="0" w:color="auto"/>
              <w:right w:val="single" w:sz="8" w:space="0" w:color="auto"/>
            </w:tcBorders>
            <w:shd w:val="clear" w:color="auto" w:fill="auto"/>
            <w:noWrap/>
            <w:vAlign w:val="bottom"/>
            <w:hideMark/>
          </w:tcPr>
          <w:p w:rsidR="00034735" w:rsidRPr="006C5779" w:rsidRDefault="00034735" w:rsidP="00122B9B">
            <w:pPr>
              <w:jc w:val="right"/>
              <w:rPr>
                <w:rFonts w:ascii="Arial" w:hAnsi="Arial" w:cs="Arial"/>
                <w:color w:val="000000"/>
                <w:lang w:eastAsia="es-CO"/>
              </w:rPr>
            </w:pPr>
            <w:r w:rsidRPr="006C5779">
              <w:rPr>
                <w:rFonts w:ascii="Arial" w:hAnsi="Arial" w:cs="Arial"/>
                <w:color w:val="000000"/>
                <w:lang w:eastAsia="es-CO"/>
              </w:rPr>
              <w:t>255977</w:t>
            </w:r>
          </w:p>
        </w:tc>
      </w:tr>
      <w:tr w:rsidR="00034735" w:rsidRPr="006C5779" w:rsidTr="00122B9B">
        <w:trPr>
          <w:trHeight w:val="300"/>
          <w:jc w:val="center"/>
        </w:trPr>
        <w:tc>
          <w:tcPr>
            <w:tcW w:w="957" w:type="pct"/>
            <w:tcBorders>
              <w:top w:val="nil"/>
              <w:left w:val="single" w:sz="8" w:space="0" w:color="auto"/>
              <w:bottom w:val="single" w:sz="4" w:space="0" w:color="auto"/>
              <w:right w:val="single" w:sz="4" w:space="0" w:color="auto"/>
            </w:tcBorders>
            <w:shd w:val="clear" w:color="auto" w:fill="auto"/>
            <w:noWrap/>
            <w:vAlign w:val="bottom"/>
            <w:hideMark/>
          </w:tcPr>
          <w:p w:rsidR="00034735" w:rsidRPr="006C5779" w:rsidRDefault="00034735" w:rsidP="00122B9B">
            <w:pPr>
              <w:rPr>
                <w:rFonts w:ascii="Arial" w:hAnsi="Arial" w:cs="Arial"/>
                <w:color w:val="000000"/>
                <w:lang w:eastAsia="es-CO"/>
              </w:rPr>
            </w:pPr>
            <w:r w:rsidRPr="006C5779">
              <w:rPr>
                <w:rFonts w:ascii="Arial" w:hAnsi="Arial" w:cs="Arial"/>
                <w:color w:val="000000"/>
                <w:lang w:eastAsia="es-CO"/>
              </w:rPr>
              <w:t>ARRENDADOS</w:t>
            </w:r>
          </w:p>
        </w:tc>
        <w:tc>
          <w:tcPr>
            <w:tcW w:w="489" w:type="pct"/>
            <w:tcBorders>
              <w:top w:val="nil"/>
              <w:left w:val="nil"/>
              <w:bottom w:val="single" w:sz="4" w:space="0" w:color="auto"/>
              <w:right w:val="single" w:sz="4" w:space="0" w:color="auto"/>
            </w:tcBorders>
            <w:shd w:val="clear" w:color="auto" w:fill="auto"/>
            <w:noWrap/>
            <w:vAlign w:val="bottom"/>
            <w:hideMark/>
          </w:tcPr>
          <w:p w:rsidR="00034735" w:rsidRPr="006C5779" w:rsidRDefault="00034735" w:rsidP="00122B9B">
            <w:pPr>
              <w:jc w:val="right"/>
              <w:rPr>
                <w:rFonts w:ascii="Arial" w:hAnsi="Arial" w:cs="Arial"/>
                <w:color w:val="000000"/>
                <w:lang w:eastAsia="es-CO"/>
              </w:rPr>
            </w:pPr>
            <w:r w:rsidRPr="006C5779">
              <w:rPr>
                <w:rFonts w:ascii="Arial" w:hAnsi="Arial" w:cs="Arial"/>
                <w:color w:val="000000"/>
                <w:lang w:eastAsia="es-CO"/>
              </w:rPr>
              <w:t>168</w:t>
            </w:r>
          </w:p>
        </w:tc>
        <w:tc>
          <w:tcPr>
            <w:tcW w:w="1066" w:type="pct"/>
            <w:tcBorders>
              <w:top w:val="nil"/>
              <w:left w:val="nil"/>
              <w:bottom w:val="single" w:sz="4" w:space="0" w:color="auto"/>
              <w:right w:val="single" w:sz="4" w:space="0" w:color="auto"/>
            </w:tcBorders>
            <w:shd w:val="clear" w:color="auto" w:fill="auto"/>
            <w:noWrap/>
            <w:vAlign w:val="bottom"/>
            <w:hideMark/>
          </w:tcPr>
          <w:p w:rsidR="00034735" w:rsidRPr="006C5779" w:rsidRDefault="00034735" w:rsidP="00122B9B">
            <w:pPr>
              <w:rPr>
                <w:rFonts w:ascii="Arial" w:hAnsi="Arial" w:cs="Arial"/>
                <w:color w:val="000000"/>
                <w:lang w:eastAsia="es-CO"/>
              </w:rPr>
            </w:pPr>
            <w:r w:rsidRPr="006C5779">
              <w:rPr>
                <w:rFonts w:ascii="Arial" w:hAnsi="Arial" w:cs="Arial"/>
                <w:color w:val="000000"/>
                <w:lang w:eastAsia="es-CO"/>
              </w:rPr>
              <w:t>$</w:t>
            </w:r>
            <w:r>
              <w:rPr>
                <w:rFonts w:ascii="Arial" w:hAnsi="Arial" w:cs="Arial"/>
                <w:color w:val="000000"/>
                <w:lang w:eastAsia="es-CO"/>
              </w:rPr>
              <w:t xml:space="preserve"> </w:t>
            </w:r>
            <w:r w:rsidRPr="006C5779">
              <w:rPr>
                <w:rFonts w:ascii="Arial" w:hAnsi="Arial" w:cs="Arial"/>
                <w:color w:val="000000"/>
                <w:lang w:eastAsia="es-CO"/>
              </w:rPr>
              <w:t xml:space="preserve">     392.726.975 </w:t>
            </w:r>
          </w:p>
        </w:tc>
        <w:tc>
          <w:tcPr>
            <w:tcW w:w="467" w:type="pct"/>
            <w:tcBorders>
              <w:top w:val="nil"/>
              <w:left w:val="nil"/>
              <w:bottom w:val="single" w:sz="4" w:space="0" w:color="auto"/>
              <w:right w:val="single" w:sz="4" w:space="0" w:color="auto"/>
            </w:tcBorders>
            <w:shd w:val="clear" w:color="auto" w:fill="auto"/>
            <w:noWrap/>
            <w:vAlign w:val="bottom"/>
            <w:hideMark/>
          </w:tcPr>
          <w:p w:rsidR="00034735" w:rsidRPr="006C5779" w:rsidRDefault="00034735" w:rsidP="00122B9B">
            <w:pPr>
              <w:jc w:val="right"/>
              <w:rPr>
                <w:rFonts w:ascii="Arial" w:hAnsi="Arial" w:cs="Arial"/>
                <w:color w:val="000000"/>
                <w:lang w:eastAsia="es-CO"/>
              </w:rPr>
            </w:pPr>
            <w:r w:rsidRPr="006C5779">
              <w:rPr>
                <w:rFonts w:ascii="Arial" w:hAnsi="Arial" w:cs="Arial"/>
                <w:color w:val="000000"/>
                <w:lang w:eastAsia="es-CO"/>
              </w:rPr>
              <w:t>47736</w:t>
            </w:r>
          </w:p>
        </w:tc>
        <w:tc>
          <w:tcPr>
            <w:tcW w:w="489" w:type="pct"/>
            <w:tcBorders>
              <w:top w:val="nil"/>
              <w:left w:val="nil"/>
              <w:bottom w:val="single" w:sz="4" w:space="0" w:color="auto"/>
              <w:right w:val="single" w:sz="4" w:space="0" w:color="auto"/>
            </w:tcBorders>
            <w:shd w:val="clear" w:color="auto" w:fill="auto"/>
            <w:noWrap/>
            <w:vAlign w:val="bottom"/>
            <w:hideMark/>
          </w:tcPr>
          <w:p w:rsidR="00034735" w:rsidRPr="006C5779" w:rsidRDefault="00034735" w:rsidP="00122B9B">
            <w:pPr>
              <w:jc w:val="right"/>
              <w:rPr>
                <w:rFonts w:ascii="Arial" w:hAnsi="Arial" w:cs="Arial"/>
                <w:color w:val="000000"/>
                <w:lang w:eastAsia="es-CO"/>
              </w:rPr>
            </w:pPr>
            <w:r w:rsidRPr="006C5779">
              <w:rPr>
                <w:rFonts w:ascii="Arial" w:hAnsi="Arial" w:cs="Arial"/>
                <w:color w:val="000000"/>
                <w:lang w:eastAsia="es-CO"/>
              </w:rPr>
              <w:t>112</w:t>
            </w:r>
          </w:p>
        </w:tc>
        <w:tc>
          <w:tcPr>
            <w:tcW w:w="1066" w:type="pct"/>
            <w:tcBorders>
              <w:top w:val="single" w:sz="4" w:space="0" w:color="auto"/>
              <w:left w:val="nil"/>
              <w:bottom w:val="nil"/>
              <w:right w:val="single" w:sz="4" w:space="0" w:color="auto"/>
            </w:tcBorders>
            <w:shd w:val="clear" w:color="auto" w:fill="auto"/>
            <w:noWrap/>
            <w:vAlign w:val="bottom"/>
            <w:hideMark/>
          </w:tcPr>
          <w:p w:rsidR="00034735" w:rsidRPr="006C5779" w:rsidRDefault="00034735" w:rsidP="00122B9B">
            <w:pPr>
              <w:rPr>
                <w:rFonts w:ascii="Arial" w:hAnsi="Arial" w:cs="Arial"/>
                <w:color w:val="000000"/>
                <w:lang w:eastAsia="es-CO"/>
              </w:rPr>
            </w:pPr>
            <w:r w:rsidRPr="006C5779">
              <w:rPr>
                <w:rFonts w:ascii="Arial" w:hAnsi="Arial" w:cs="Arial"/>
                <w:color w:val="000000"/>
                <w:lang w:eastAsia="es-CO"/>
              </w:rPr>
              <w:t xml:space="preserve"> $       449.102.695 </w:t>
            </w:r>
          </w:p>
        </w:tc>
        <w:tc>
          <w:tcPr>
            <w:tcW w:w="467" w:type="pct"/>
            <w:tcBorders>
              <w:top w:val="nil"/>
              <w:left w:val="nil"/>
              <w:bottom w:val="single" w:sz="4" w:space="0" w:color="auto"/>
              <w:right w:val="single" w:sz="8" w:space="0" w:color="auto"/>
            </w:tcBorders>
            <w:shd w:val="clear" w:color="auto" w:fill="auto"/>
            <w:noWrap/>
            <w:vAlign w:val="bottom"/>
            <w:hideMark/>
          </w:tcPr>
          <w:p w:rsidR="00034735" w:rsidRPr="006C5779" w:rsidRDefault="00034735" w:rsidP="00122B9B">
            <w:pPr>
              <w:jc w:val="right"/>
              <w:rPr>
                <w:rFonts w:ascii="Arial" w:hAnsi="Arial" w:cs="Arial"/>
                <w:color w:val="000000"/>
                <w:lang w:eastAsia="es-CO"/>
              </w:rPr>
            </w:pPr>
            <w:r w:rsidRPr="006C5779">
              <w:rPr>
                <w:rFonts w:ascii="Arial" w:hAnsi="Arial" w:cs="Arial"/>
                <w:color w:val="000000"/>
                <w:lang w:eastAsia="es-CO"/>
              </w:rPr>
              <w:t>51703</w:t>
            </w:r>
          </w:p>
        </w:tc>
      </w:tr>
      <w:tr w:rsidR="00034735" w:rsidRPr="006C5779" w:rsidTr="00122B9B">
        <w:trPr>
          <w:trHeight w:val="315"/>
          <w:jc w:val="center"/>
        </w:trPr>
        <w:tc>
          <w:tcPr>
            <w:tcW w:w="957" w:type="pct"/>
            <w:tcBorders>
              <w:top w:val="nil"/>
              <w:left w:val="single" w:sz="8" w:space="0" w:color="auto"/>
              <w:bottom w:val="single" w:sz="8" w:space="0" w:color="auto"/>
              <w:right w:val="single" w:sz="4" w:space="0" w:color="auto"/>
            </w:tcBorders>
            <w:shd w:val="clear" w:color="auto" w:fill="auto"/>
            <w:noWrap/>
            <w:vAlign w:val="bottom"/>
            <w:hideMark/>
          </w:tcPr>
          <w:p w:rsidR="00034735" w:rsidRPr="006C5779" w:rsidRDefault="00034735" w:rsidP="00122B9B">
            <w:pPr>
              <w:rPr>
                <w:rFonts w:ascii="Arial" w:hAnsi="Arial" w:cs="Arial"/>
                <w:color w:val="000000"/>
                <w:lang w:eastAsia="es-CO"/>
              </w:rPr>
            </w:pPr>
            <w:r w:rsidRPr="006C5779">
              <w:rPr>
                <w:rFonts w:ascii="Arial" w:hAnsi="Arial" w:cs="Arial"/>
                <w:color w:val="000000"/>
                <w:lang w:eastAsia="es-CO"/>
              </w:rPr>
              <w:t>MOTOS ARRENDADAS</w:t>
            </w:r>
          </w:p>
        </w:tc>
        <w:tc>
          <w:tcPr>
            <w:tcW w:w="489" w:type="pct"/>
            <w:tcBorders>
              <w:top w:val="nil"/>
              <w:left w:val="nil"/>
              <w:bottom w:val="nil"/>
              <w:right w:val="single" w:sz="4" w:space="0" w:color="auto"/>
            </w:tcBorders>
            <w:shd w:val="clear" w:color="auto" w:fill="auto"/>
            <w:noWrap/>
            <w:vAlign w:val="bottom"/>
            <w:hideMark/>
          </w:tcPr>
          <w:p w:rsidR="00034735" w:rsidRPr="006C5779" w:rsidRDefault="00034735" w:rsidP="00122B9B">
            <w:pPr>
              <w:jc w:val="right"/>
              <w:rPr>
                <w:rFonts w:ascii="Arial" w:hAnsi="Arial" w:cs="Arial"/>
                <w:color w:val="000000"/>
                <w:lang w:eastAsia="es-CO"/>
              </w:rPr>
            </w:pPr>
            <w:r w:rsidRPr="006C5779">
              <w:rPr>
                <w:rFonts w:ascii="Arial" w:hAnsi="Arial" w:cs="Arial"/>
                <w:color w:val="000000"/>
                <w:lang w:eastAsia="es-CO"/>
              </w:rPr>
              <w:t>180</w:t>
            </w:r>
          </w:p>
        </w:tc>
        <w:tc>
          <w:tcPr>
            <w:tcW w:w="1066" w:type="pct"/>
            <w:tcBorders>
              <w:top w:val="nil"/>
              <w:left w:val="nil"/>
              <w:bottom w:val="nil"/>
              <w:right w:val="single" w:sz="4" w:space="0" w:color="auto"/>
            </w:tcBorders>
            <w:shd w:val="clear" w:color="auto" w:fill="auto"/>
            <w:noWrap/>
            <w:vAlign w:val="bottom"/>
            <w:hideMark/>
          </w:tcPr>
          <w:p w:rsidR="00034735" w:rsidRPr="006C5779" w:rsidRDefault="00034735" w:rsidP="00122B9B">
            <w:pPr>
              <w:rPr>
                <w:rFonts w:ascii="Arial" w:hAnsi="Arial" w:cs="Arial"/>
                <w:color w:val="000000"/>
                <w:lang w:eastAsia="es-CO"/>
              </w:rPr>
            </w:pPr>
            <w:r w:rsidRPr="006C5779">
              <w:rPr>
                <w:rFonts w:ascii="Arial" w:hAnsi="Arial" w:cs="Arial"/>
                <w:color w:val="000000"/>
                <w:lang w:eastAsia="es-CO"/>
              </w:rPr>
              <w:t xml:space="preserve">$                    124.701.050 </w:t>
            </w:r>
          </w:p>
        </w:tc>
        <w:tc>
          <w:tcPr>
            <w:tcW w:w="467" w:type="pct"/>
            <w:tcBorders>
              <w:top w:val="nil"/>
              <w:left w:val="nil"/>
              <w:bottom w:val="nil"/>
              <w:right w:val="single" w:sz="4" w:space="0" w:color="auto"/>
            </w:tcBorders>
            <w:shd w:val="clear" w:color="auto" w:fill="auto"/>
            <w:noWrap/>
            <w:vAlign w:val="bottom"/>
            <w:hideMark/>
          </w:tcPr>
          <w:p w:rsidR="00034735" w:rsidRPr="006C5779" w:rsidRDefault="00034735" w:rsidP="00122B9B">
            <w:pPr>
              <w:jc w:val="right"/>
              <w:rPr>
                <w:rFonts w:ascii="Arial" w:hAnsi="Arial" w:cs="Arial"/>
                <w:color w:val="000000"/>
                <w:lang w:eastAsia="es-CO"/>
              </w:rPr>
            </w:pPr>
            <w:r w:rsidRPr="006C5779">
              <w:rPr>
                <w:rFonts w:ascii="Arial" w:hAnsi="Arial" w:cs="Arial"/>
                <w:color w:val="000000"/>
                <w:lang w:eastAsia="es-CO"/>
              </w:rPr>
              <w:t>14171</w:t>
            </w:r>
          </w:p>
        </w:tc>
        <w:tc>
          <w:tcPr>
            <w:tcW w:w="489" w:type="pct"/>
            <w:tcBorders>
              <w:top w:val="nil"/>
              <w:left w:val="nil"/>
              <w:bottom w:val="single" w:sz="4" w:space="0" w:color="auto"/>
              <w:right w:val="single" w:sz="4" w:space="0" w:color="auto"/>
            </w:tcBorders>
            <w:shd w:val="clear" w:color="auto" w:fill="auto"/>
            <w:noWrap/>
            <w:vAlign w:val="bottom"/>
            <w:hideMark/>
          </w:tcPr>
          <w:p w:rsidR="00034735" w:rsidRPr="006C5779" w:rsidRDefault="00034735" w:rsidP="00122B9B">
            <w:pPr>
              <w:jc w:val="right"/>
              <w:rPr>
                <w:rFonts w:ascii="Arial" w:hAnsi="Arial" w:cs="Arial"/>
                <w:color w:val="000000"/>
                <w:lang w:eastAsia="es-CO"/>
              </w:rPr>
            </w:pPr>
            <w:r w:rsidRPr="006C5779">
              <w:rPr>
                <w:rFonts w:ascii="Arial" w:hAnsi="Arial" w:cs="Arial"/>
                <w:color w:val="000000"/>
                <w:lang w:eastAsia="es-CO"/>
              </w:rPr>
              <w:t>179</w:t>
            </w:r>
          </w:p>
        </w:tc>
        <w:tc>
          <w:tcPr>
            <w:tcW w:w="1066" w:type="pct"/>
            <w:tcBorders>
              <w:top w:val="single" w:sz="4" w:space="0" w:color="auto"/>
              <w:left w:val="nil"/>
              <w:bottom w:val="nil"/>
              <w:right w:val="single" w:sz="4" w:space="0" w:color="auto"/>
            </w:tcBorders>
            <w:shd w:val="clear" w:color="auto" w:fill="auto"/>
            <w:noWrap/>
            <w:vAlign w:val="bottom"/>
            <w:hideMark/>
          </w:tcPr>
          <w:p w:rsidR="00034735" w:rsidRPr="006C5779" w:rsidRDefault="00034735" w:rsidP="00122B9B">
            <w:pPr>
              <w:rPr>
                <w:rFonts w:ascii="Arial" w:hAnsi="Arial" w:cs="Arial"/>
                <w:color w:val="000000"/>
                <w:lang w:eastAsia="es-CO"/>
              </w:rPr>
            </w:pPr>
            <w:r w:rsidRPr="006C5779">
              <w:rPr>
                <w:rFonts w:ascii="Arial" w:hAnsi="Arial" w:cs="Arial"/>
                <w:color w:val="000000"/>
                <w:lang w:eastAsia="es-CO"/>
              </w:rPr>
              <w:t xml:space="preserve"> $                    133.143.195 </w:t>
            </w:r>
          </w:p>
        </w:tc>
        <w:tc>
          <w:tcPr>
            <w:tcW w:w="467" w:type="pct"/>
            <w:tcBorders>
              <w:top w:val="nil"/>
              <w:left w:val="nil"/>
              <w:bottom w:val="nil"/>
              <w:right w:val="single" w:sz="8" w:space="0" w:color="auto"/>
            </w:tcBorders>
            <w:shd w:val="clear" w:color="auto" w:fill="auto"/>
            <w:noWrap/>
            <w:vAlign w:val="bottom"/>
            <w:hideMark/>
          </w:tcPr>
          <w:p w:rsidR="00034735" w:rsidRPr="006C5779" w:rsidRDefault="00034735" w:rsidP="00122B9B">
            <w:pPr>
              <w:jc w:val="right"/>
              <w:rPr>
                <w:rFonts w:ascii="Arial" w:hAnsi="Arial" w:cs="Arial"/>
                <w:color w:val="000000"/>
                <w:lang w:eastAsia="es-CO"/>
              </w:rPr>
            </w:pPr>
            <w:r w:rsidRPr="006C5779">
              <w:rPr>
                <w:rFonts w:ascii="Arial" w:hAnsi="Arial" w:cs="Arial"/>
                <w:color w:val="000000"/>
                <w:lang w:eastAsia="es-CO"/>
              </w:rPr>
              <w:t>14486</w:t>
            </w:r>
          </w:p>
        </w:tc>
      </w:tr>
      <w:tr w:rsidR="00034735" w:rsidRPr="006C5779" w:rsidTr="00122B9B">
        <w:trPr>
          <w:trHeight w:val="390"/>
          <w:jc w:val="center"/>
        </w:trPr>
        <w:tc>
          <w:tcPr>
            <w:tcW w:w="957" w:type="pct"/>
            <w:tcBorders>
              <w:top w:val="nil"/>
              <w:left w:val="single" w:sz="8" w:space="0" w:color="auto"/>
              <w:bottom w:val="single" w:sz="8" w:space="0" w:color="auto"/>
              <w:right w:val="single" w:sz="8" w:space="0" w:color="auto"/>
            </w:tcBorders>
            <w:shd w:val="clear" w:color="auto" w:fill="auto"/>
            <w:noWrap/>
            <w:vAlign w:val="bottom"/>
            <w:hideMark/>
          </w:tcPr>
          <w:p w:rsidR="00034735" w:rsidRPr="006C5779" w:rsidRDefault="00034735" w:rsidP="00122B9B">
            <w:pPr>
              <w:rPr>
                <w:rFonts w:ascii="Arial" w:hAnsi="Arial" w:cs="Arial"/>
                <w:b/>
                <w:bCs/>
                <w:color w:val="000000"/>
                <w:lang w:eastAsia="es-CO"/>
              </w:rPr>
            </w:pPr>
            <w:r w:rsidRPr="006C5779">
              <w:rPr>
                <w:rFonts w:ascii="Arial" w:hAnsi="Arial" w:cs="Arial"/>
                <w:b/>
                <w:bCs/>
                <w:color w:val="000000"/>
                <w:lang w:eastAsia="es-CO"/>
              </w:rPr>
              <w:t>TOTAL</w:t>
            </w:r>
          </w:p>
        </w:tc>
        <w:tc>
          <w:tcPr>
            <w:tcW w:w="489" w:type="pct"/>
            <w:tcBorders>
              <w:top w:val="single" w:sz="8" w:space="0" w:color="auto"/>
              <w:left w:val="nil"/>
              <w:bottom w:val="single" w:sz="8" w:space="0" w:color="auto"/>
              <w:right w:val="single" w:sz="4" w:space="0" w:color="auto"/>
            </w:tcBorders>
            <w:shd w:val="clear" w:color="auto" w:fill="auto"/>
            <w:noWrap/>
            <w:vAlign w:val="bottom"/>
            <w:hideMark/>
          </w:tcPr>
          <w:p w:rsidR="00034735" w:rsidRPr="006C5779" w:rsidRDefault="00034735" w:rsidP="00122B9B">
            <w:pPr>
              <w:jc w:val="right"/>
              <w:rPr>
                <w:rFonts w:ascii="Arial" w:hAnsi="Arial" w:cs="Arial"/>
                <w:b/>
                <w:bCs/>
                <w:color w:val="000000"/>
                <w:lang w:eastAsia="es-CO"/>
              </w:rPr>
            </w:pPr>
            <w:r w:rsidRPr="006C5779">
              <w:rPr>
                <w:rFonts w:ascii="Arial" w:hAnsi="Arial" w:cs="Arial"/>
                <w:b/>
                <w:bCs/>
                <w:color w:val="000000"/>
                <w:lang w:eastAsia="es-CO"/>
              </w:rPr>
              <w:t>866</w:t>
            </w:r>
          </w:p>
        </w:tc>
        <w:tc>
          <w:tcPr>
            <w:tcW w:w="1066" w:type="pct"/>
            <w:tcBorders>
              <w:top w:val="single" w:sz="8" w:space="0" w:color="auto"/>
              <w:left w:val="nil"/>
              <w:bottom w:val="single" w:sz="8" w:space="0" w:color="auto"/>
              <w:right w:val="single" w:sz="4" w:space="0" w:color="auto"/>
            </w:tcBorders>
            <w:shd w:val="clear" w:color="auto" w:fill="auto"/>
            <w:noWrap/>
            <w:vAlign w:val="bottom"/>
            <w:hideMark/>
          </w:tcPr>
          <w:p w:rsidR="00034735" w:rsidRPr="006C5779" w:rsidRDefault="00034735" w:rsidP="00122B9B">
            <w:pPr>
              <w:rPr>
                <w:rFonts w:ascii="Arial" w:hAnsi="Arial" w:cs="Arial"/>
                <w:b/>
                <w:bCs/>
                <w:color w:val="000000"/>
                <w:lang w:eastAsia="es-CO"/>
              </w:rPr>
            </w:pPr>
            <w:r w:rsidRPr="006C5779">
              <w:rPr>
                <w:rFonts w:ascii="Arial" w:hAnsi="Arial" w:cs="Arial"/>
                <w:b/>
                <w:bCs/>
                <w:color w:val="000000"/>
                <w:lang w:eastAsia="es-CO"/>
              </w:rPr>
              <w:t xml:space="preserve"> $   2.618.079.033 </w:t>
            </w:r>
          </w:p>
        </w:tc>
        <w:tc>
          <w:tcPr>
            <w:tcW w:w="467" w:type="pct"/>
            <w:tcBorders>
              <w:top w:val="single" w:sz="8" w:space="0" w:color="auto"/>
              <w:left w:val="nil"/>
              <w:bottom w:val="single" w:sz="8" w:space="0" w:color="auto"/>
              <w:right w:val="single" w:sz="8" w:space="0" w:color="auto"/>
            </w:tcBorders>
            <w:shd w:val="clear" w:color="auto" w:fill="auto"/>
            <w:noWrap/>
            <w:vAlign w:val="bottom"/>
            <w:hideMark/>
          </w:tcPr>
          <w:p w:rsidR="00034735" w:rsidRPr="006C5779" w:rsidRDefault="00034735" w:rsidP="00122B9B">
            <w:pPr>
              <w:jc w:val="right"/>
              <w:rPr>
                <w:rFonts w:ascii="Arial" w:hAnsi="Arial" w:cs="Arial"/>
                <w:b/>
                <w:bCs/>
                <w:color w:val="000000"/>
                <w:lang w:eastAsia="es-CO"/>
              </w:rPr>
            </w:pPr>
            <w:r w:rsidRPr="006C5779">
              <w:rPr>
                <w:rFonts w:ascii="Arial" w:hAnsi="Arial" w:cs="Arial"/>
                <w:b/>
                <w:bCs/>
                <w:color w:val="000000"/>
                <w:lang w:eastAsia="es-CO"/>
              </w:rPr>
              <w:t>309782</w:t>
            </w:r>
          </w:p>
        </w:tc>
        <w:tc>
          <w:tcPr>
            <w:tcW w:w="489" w:type="pct"/>
            <w:tcBorders>
              <w:top w:val="single" w:sz="8" w:space="0" w:color="auto"/>
              <w:left w:val="nil"/>
              <w:bottom w:val="single" w:sz="8" w:space="0" w:color="auto"/>
              <w:right w:val="single" w:sz="4" w:space="0" w:color="auto"/>
            </w:tcBorders>
            <w:shd w:val="clear" w:color="auto" w:fill="auto"/>
            <w:noWrap/>
            <w:vAlign w:val="bottom"/>
            <w:hideMark/>
          </w:tcPr>
          <w:p w:rsidR="00034735" w:rsidRPr="006C5779" w:rsidRDefault="00034735" w:rsidP="00122B9B">
            <w:pPr>
              <w:jc w:val="right"/>
              <w:rPr>
                <w:rFonts w:ascii="Arial" w:hAnsi="Arial" w:cs="Arial"/>
                <w:b/>
                <w:bCs/>
                <w:color w:val="000000"/>
                <w:lang w:eastAsia="es-CO"/>
              </w:rPr>
            </w:pPr>
            <w:r w:rsidRPr="006C5779">
              <w:rPr>
                <w:rFonts w:ascii="Arial" w:hAnsi="Arial" w:cs="Arial"/>
                <w:b/>
                <w:bCs/>
                <w:color w:val="000000"/>
                <w:lang w:eastAsia="es-CO"/>
              </w:rPr>
              <w:t>880</w:t>
            </w:r>
          </w:p>
        </w:tc>
        <w:tc>
          <w:tcPr>
            <w:tcW w:w="1066" w:type="pct"/>
            <w:tcBorders>
              <w:top w:val="single" w:sz="8" w:space="0" w:color="auto"/>
              <w:left w:val="nil"/>
              <w:bottom w:val="single" w:sz="8" w:space="0" w:color="auto"/>
              <w:right w:val="single" w:sz="4" w:space="0" w:color="auto"/>
            </w:tcBorders>
            <w:shd w:val="clear" w:color="auto" w:fill="auto"/>
            <w:noWrap/>
            <w:vAlign w:val="bottom"/>
            <w:hideMark/>
          </w:tcPr>
          <w:p w:rsidR="00034735" w:rsidRPr="006C5779" w:rsidRDefault="00034735" w:rsidP="00122B9B">
            <w:pPr>
              <w:rPr>
                <w:rFonts w:ascii="Arial" w:hAnsi="Arial" w:cs="Arial"/>
                <w:b/>
                <w:bCs/>
                <w:color w:val="000000"/>
                <w:lang w:eastAsia="es-CO"/>
              </w:rPr>
            </w:pPr>
            <w:r w:rsidRPr="006C5779">
              <w:rPr>
                <w:rFonts w:ascii="Arial" w:hAnsi="Arial" w:cs="Arial"/>
                <w:b/>
                <w:bCs/>
                <w:color w:val="000000"/>
                <w:lang w:eastAsia="es-CO"/>
              </w:rPr>
              <w:t xml:space="preserve"> $   2.863.805.207 </w:t>
            </w:r>
          </w:p>
        </w:tc>
        <w:tc>
          <w:tcPr>
            <w:tcW w:w="467"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34735" w:rsidRPr="006C5779" w:rsidRDefault="00034735" w:rsidP="00122B9B">
            <w:pPr>
              <w:jc w:val="right"/>
              <w:rPr>
                <w:rFonts w:ascii="Arial" w:hAnsi="Arial" w:cs="Arial"/>
                <w:b/>
                <w:bCs/>
                <w:color w:val="000000"/>
                <w:lang w:eastAsia="es-CO"/>
              </w:rPr>
            </w:pPr>
            <w:r w:rsidRPr="006C5779">
              <w:rPr>
                <w:rFonts w:ascii="Arial" w:hAnsi="Arial" w:cs="Arial"/>
                <w:b/>
                <w:bCs/>
                <w:color w:val="000000"/>
                <w:lang w:eastAsia="es-CO"/>
              </w:rPr>
              <w:t>322166</w:t>
            </w:r>
          </w:p>
        </w:tc>
      </w:tr>
    </w:tbl>
    <w:p w:rsidR="00034735" w:rsidRPr="00BD30A6" w:rsidRDefault="00034735" w:rsidP="00034735">
      <w:pPr>
        <w:ind w:firstLine="709"/>
        <w:rPr>
          <w:rFonts w:ascii="Arial" w:hAnsi="Arial" w:cs="Arial"/>
          <w:sz w:val="16"/>
          <w:szCs w:val="24"/>
        </w:rPr>
      </w:pPr>
      <w:r w:rsidRPr="00BD30A6">
        <w:rPr>
          <w:rFonts w:ascii="Arial" w:hAnsi="Arial" w:cs="Arial"/>
          <w:sz w:val="16"/>
          <w:szCs w:val="24"/>
        </w:rPr>
        <w:t>Fuente: Dirección de Servicios Administrativos – OCIG</w:t>
      </w:r>
    </w:p>
    <w:p w:rsidR="00034735" w:rsidRDefault="00034735" w:rsidP="00CE53D0">
      <w:pPr>
        <w:jc w:val="both"/>
        <w:rPr>
          <w:rFonts w:ascii="Arial" w:hAnsi="Arial" w:cs="Arial"/>
          <w:sz w:val="24"/>
        </w:rPr>
      </w:pPr>
      <w:r>
        <w:rPr>
          <w:rFonts w:ascii="Arial" w:hAnsi="Arial" w:cs="Arial"/>
          <w:sz w:val="24"/>
        </w:rPr>
        <w:t>Al comparar las vigencias 2018 vs. 2019 del rubro de combustibles, se observa un comportamiento relativamente  estable; el incremento en el pago de este rubro obedece a los incrementos de ley para los hidrocarburos.</w:t>
      </w:r>
    </w:p>
    <w:p w:rsidR="00034735" w:rsidRPr="00946A4E" w:rsidRDefault="00C46587" w:rsidP="00C46587">
      <w:pPr>
        <w:pStyle w:val="Ttulo2"/>
        <w:rPr>
          <w:rFonts w:cs="Arial"/>
        </w:rPr>
      </w:pPr>
      <w:r w:rsidRPr="00946A4E">
        <w:rPr>
          <w:rFonts w:cs="Arial"/>
        </w:rPr>
        <w:t>-</w:t>
      </w:r>
      <w:r w:rsidR="00034735" w:rsidRPr="00946A4E">
        <w:t>Teléfono Fijo</w:t>
      </w:r>
    </w:p>
    <w:p w:rsidR="00034735" w:rsidRPr="00551269" w:rsidRDefault="00034735" w:rsidP="00CE53D0">
      <w:pPr>
        <w:pStyle w:val="Descripcin"/>
        <w:keepNext/>
        <w:numPr>
          <w:ilvl w:val="0"/>
          <w:numId w:val="7"/>
        </w:numPr>
        <w:spacing w:before="240" w:after="240"/>
        <w:ind w:left="714" w:hanging="357"/>
        <w:rPr>
          <w:b/>
          <w:color w:val="auto"/>
          <w:sz w:val="24"/>
        </w:rPr>
      </w:pPr>
      <w:r>
        <w:rPr>
          <w:b/>
          <w:color w:val="auto"/>
          <w:sz w:val="24"/>
        </w:rPr>
        <w:t>Ilustración</w:t>
      </w:r>
      <w:r w:rsidRPr="00551269">
        <w:rPr>
          <w:b/>
          <w:color w:val="auto"/>
          <w:sz w:val="24"/>
        </w:rPr>
        <w:t xml:space="preserve"> </w:t>
      </w:r>
      <w:r>
        <w:rPr>
          <w:b/>
          <w:color w:val="auto"/>
          <w:sz w:val="24"/>
        </w:rPr>
        <w:t>4. Pagos telefonía fija 2018 vs. 2019</w:t>
      </w:r>
    </w:p>
    <w:p w:rsidR="00034735" w:rsidRDefault="00034735" w:rsidP="00034735">
      <w:pPr>
        <w:ind w:firstLine="709"/>
        <w:rPr>
          <w:rFonts w:ascii="Arial" w:hAnsi="Arial" w:cs="Arial"/>
          <w:sz w:val="16"/>
          <w:szCs w:val="24"/>
        </w:rPr>
      </w:pPr>
      <w:r>
        <w:rPr>
          <w:noProof/>
          <w:lang w:eastAsia="es-CO"/>
        </w:rPr>
        <w:drawing>
          <wp:inline distT="0" distB="0" distL="0" distR="0" wp14:anchorId="0B3DB4DC" wp14:editId="5950098D">
            <wp:extent cx="5016500" cy="2743200"/>
            <wp:effectExtent l="0" t="0" r="12700" b="0"/>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034735" w:rsidRPr="00BD30A6" w:rsidRDefault="00034735" w:rsidP="00034735">
      <w:pPr>
        <w:ind w:firstLine="709"/>
        <w:rPr>
          <w:rFonts w:ascii="Arial" w:hAnsi="Arial" w:cs="Arial"/>
          <w:sz w:val="16"/>
          <w:szCs w:val="24"/>
        </w:rPr>
      </w:pPr>
      <w:r w:rsidRPr="00BD30A6">
        <w:rPr>
          <w:rFonts w:ascii="Arial" w:hAnsi="Arial" w:cs="Arial"/>
          <w:sz w:val="16"/>
          <w:szCs w:val="24"/>
        </w:rPr>
        <w:t xml:space="preserve"> Fuente: Dirección de Servicios Administrativos – OCIG</w:t>
      </w:r>
    </w:p>
    <w:p w:rsidR="00034735" w:rsidRDefault="00034735" w:rsidP="00034735">
      <w:pPr>
        <w:jc w:val="both"/>
        <w:rPr>
          <w:rFonts w:ascii="Arial" w:hAnsi="Arial" w:cs="Arial"/>
          <w:b/>
          <w:color w:val="FF0000"/>
          <w:sz w:val="24"/>
          <w:szCs w:val="24"/>
          <w:highlight w:val="yellow"/>
        </w:rPr>
      </w:pPr>
    </w:p>
    <w:p w:rsidR="00034735" w:rsidRDefault="00034735" w:rsidP="00034735">
      <w:pPr>
        <w:jc w:val="both"/>
        <w:rPr>
          <w:rFonts w:ascii="Arial" w:hAnsi="Arial" w:cs="Arial"/>
          <w:sz w:val="24"/>
          <w:szCs w:val="24"/>
          <w:lang w:val="es-ES"/>
        </w:rPr>
      </w:pPr>
      <w:r w:rsidRPr="007214F5">
        <w:rPr>
          <w:rFonts w:ascii="Arial" w:hAnsi="Arial" w:cs="Arial"/>
          <w:sz w:val="24"/>
          <w:szCs w:val="24"/>
          <w:lang w:val="es-ES"/>
        </w:rPr>
        <w:t xml:space="preserve">En la </w:t>
      </w:r>
      <w:r>
        <w:rPr>
          <w:rFonts w:ascii="Arial" w:hAnsi="Arial" w:cs="Arial"/>
          <w:sz w:val="24"/>
          <w:szCs w:val="24"/>
          <w:lang w:val="es-ES"/>
        </w:rPr>
        <w:t>Ilustración 4</w:t>
      </w:r>
      <w:r w:rsidRPr="007214F5">
        <w:rPr>
          <w:rFonts w:ascii="Arial" w:hAnsi="Arial" w:cs="Arial"/>
          <w:sz w:val="24"/>
          <w:szCs w:val="24"/>
          <w:lang w:val="es-ES"/>
        </w:rPr>
        <w:t xml:space="preserve"> se observa la relación de pago por el servicio de telefonía fija a</w:t>
      </w:r>
      <w:r>
        <w:rPr>
          <w:rFonts w:ascii="Arial" w:hAnsi="Arial" w:cs="Arial"/>
          <w:sz w:val="24"/>
          <w:szCs w:val="24"/>
          <w:lang w:val="es-ES"/>
        </w:rPr>
        <w:t xml:space="preserve"> </w:t>
      </w:r>
      <w:r w:rsidRPr="007214F5">
        <w:rPr>
          <w:rFonts w:ascii="Arial" w:hAnsi="Arial" w:cs="Arial"/>
          <w:sz w:val="24"/>
          <w:szCs w:val="24"/>
          <w:lang w:val="es-ES"/>
        </w:rPr>
        <w:t>l</w:t>
      </w:r>
      <w:r>
        <w:rPr>
          <w:rFonts w:ascii="Arial" w:hAnsi="Arial" w:cs="Arial"/>
          <w:sz w:val="24"/>
          <w:szCs w:val="24"/>
          <w:lang w:val="es-ES"/>
        </w:rPr>
        <w:t>os</w:t>
      </w:r>
      <w:r w:rsidRPr="007214F5">
        <w:rPr>
          <w:rFonts w:ascii="Arial" w:hAnsi="Arial" w:cs="Arial"/>
          <w:sz w:val="24"/>
          <w:szCs w:val="24"/>
          <w:lang w:val="es-ES"/>
        </w:rPr>
        <w:t xml:space="preserve"> operadores ETB </w:t>
      </w:r>
      <w:r>
        <w:rPr>
          <w:rFonts w:ascii="Arial" w:hAnsi="Arial" w:cs="Arial"/>
          <w:sz w:val="24"/>
          <w:szCs w:val="24"/>
          <w:lang w:val="es-ES"/>
        </w:rPr>
        <w:t xml:space="preserve">y </w:t>
      </w:r>
      <w:r w:rsidRPr="007214F5">
        <w:rPr>
          <w:rFonts w:ascii="Arial" w:hAnsi="Arial" w:cs="Arial"/>
          <w:sz w:val="24"/>
          <w:szCs w:val="24"/>
          <w:lang w:val="es-ES"/>
        </w:rPr>
        <w:t xml:space="preserve">Movistar para </w:t>
      </w:r>
      <w:r>
        <w:rPr>
          <w:rFonts w:ascii="Arial" w:hAnsi="Arial" w:cs="Arial"/>
          <w:sz w:val="24"/>
          <w:szCs w:val="24"/>
          <w:lang w:val="es-ES"/>
        </w:rPr>
        <w:t>las vigencias 2018 vs. 2019</w:t>
      </w:r>
      <w:r w:rsidRPr="007214F5">
        <w:rPr>
          <w:rFonts w:ascii="Arial" w:hAnsi="Arial" w:cs="Arial"/>
          <w:sz w:val="24"/>
          <w:szCs w:val="24"/>
          <w:lang w:val="es-ES"/>
        </w:rPr>
        <w:t xml:space="preserve">, observándose un </w:t>
      </w:r>
      <w:r>
        <w:rPr>
          <w:rFonts w:ascii="Arial" w:hAnsi="Arial" w:cs="Arial"/>
          <w:sz w:val="24"/>
          <w:szCs w:val="24"/>
          <w:lang w:val="es-ES"/>
        </w:rPr>
        <w:t>decremento</w:t>
      </w:r>
      <w:r w:rsidRPr="007214F5">
        <w:rPr>
          <w:rFonts w:ascii="Arial" w:hAnsi="Arial" w:cs="Arial"/>
          <w:sz w:val="24"/>
          <w:szCs w:val="24"/>
          <w:lang w:val="es-ES"/>
        </w:rPr>
        <w:t xml:space="preserve"> del </w:t>
      </w:r>
      <w:r>
        <w:rPr>
          <w:rFonts w:ascii="Arial" w:hAnsi="Arial" w:cs="Arial"/>
          <w:sz w:val="24"/>
          <w:szCs w:val="24"/>
          <w:lang w:val="es-ES"/>
        </w:rPr>
        <w:t>5,95% entre las vigencias evaluadas.</w:t>
      </w:r>
    </w:p>
    <w:p w:rsidR="00034735" w:rsidRPr="006152D8" w:rsidRDefault="00946A4E" w:rsidP="00946A4E">
      <w:pPr>
        <w:pStyle w:val="Ttulo2"/>
      </w:pPr>
      <w:bookmarkStart w:id="2" w:name="_Toc485983813"/>
      <w:r>
        <w:t>-</w:t>
      </w:r>
      <w:r w:rsidR="00034735" w:rsidRPr="00803795">
        <w:t xml:space="preserve"> Teléfono Celular</w:t>
      </w:r>
      <w:bookmarkEnd w:id="2"/>
    </w:p>
    <w:p w:rsidR="00034735" w:rsidRPr="00C14EF9" w:rsidRDefault="00034735" w:rsidP="00CE53D0">
      <w:pPr>
        <w:pStyle w:val="Descripcin"/>
        <w:keepNext/>
        <w:numPr>
          <w:ilvl w:val="0"/>
          <w:numId w:val="7"/>
        </w:numPr>
        <w:spacing w:before="240" w:after="240"/>
        <w:ind w:left="714" w:hanging="357"/>
        <w:rPr>
          <w:b/>
          <w:color w:val="auto"/>
          <w:sz w:val="24"/>
        </w:rPr>
      </w:pPr>
      <w:r>
        <w:rPr>
          <w:b/>
          <w:color w:val="auto"/>
          <w:sz w:val="24"/>
        </w:rPr>
        <w:t>Ilustración 5</w:t>
      </w:r>
      <w:r w:rsidRPr="00C14EF9">
        <w:rPr>
          <w:b/>
          <w:color w:val="auto"/>
          <w:sz w:val="24"/>
        </w:rPr>
        <w:t>. Pagos Telefonía 2018 vs. 2019</w:t>
      </w:r>
    </w:p>
    <w:p w:rsidR="00034735" w:rsidRDefault="00034735" w:rsidP="00034735">
      <w:pPr>
        <w:jc w:val="center"/>
        <w:rPr>
          <w:rFonts w:ascii="Arial" w:hAnsi="Arial" w:cs="Arial"/>
          <w:sz w:val="16"/>
          <w:szCs w:val="24"/>
        </w:rPr>
      </w:pPr>
      <w:r>
        <w:rPr>
          <w:noProof/>
          <w:lang w:eastAsia="es-CO"/>
        </w:rPr>
        <w:drawing>
          <wp:inline distT="0" distB="0" distL="0" distR="0" wp14:anchorId="6E8B57D0" wp14:editId="72B4AE7C">
            <wp:extent cx="4572000" cy="2012950"/>
            <wp:effectExtent l="0" t="0" r="0" b="6350"/>
            <wp:docPr id="5"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034735" w:rsidRPr="00946A4E" w:rsidRDefault="00034735" w:rsidP="00034735">
      <w:pPr>
        <w:rPr>
          <w:rFonts w:ascii="Arial" w:hAnsi="Arial" w:cs="Arial"/>
          <w:sz w:val="16"/>
          <w:szCs w:val="24"/>
        </w:rPr>
      </w:pPr>
      <w:r>
        <w:rPr>
          <w:rFonts w:ascii="Arial" w:hAnsi="Arial" w:cs="Arial"/>
          <w:sz w:val="16"/>
          <w:szCs w:val="24"/>
        </w:rPr>
        <w:t xml:space="preserve">       </w:t>
      </w:r>
      <w:r w:rsidRPr="00BC0844">
        <w:rPr>
          <w:rFonts w:ascii="Arial" w:hAnsi="Arial" w:cs="Arial"/>
          <w:sz w:val="16"/>
          <w:szCs w:val="24"/>
        </w:rPr>
        <w:t>Fuente: Dirección de Servicios Administrativos – OCIG</w:t>
      </w:r>
    </w:p>
    <w:p w:rsidR="00CE53D0" w:rsidRDefault="00034735" w:rsidP="00034735">
      <w:pPr>
        <w:jc w:val="both"/>
        <w:rPr>
          <w:rFonts w:ascii="Arial" w:hAnsi="Arial" w:cs="Arial"/>
          <w:sz w:val="24"/>
          <w:szCs w:val="24"/>
          <w:lang w:val="es-ES"/>
        </w:rPr>
      </w:pPr>
      <w:r>
        <w:rPr>
          <w:rFonts w:ascii="Arial" w:hAnsi="Arial" w:cs="Arial"/>
          <w:sz w:val="24"/>
          <w:szCs w:val="24"/>
          <w:lang w:val="es-ES"/>
        </w:rPr>
        <w:t>En la Ilustración 5</w:t>
      </w:r>
      <w:r w:rsidRPr="00C14EF9">
        <w:rPr>
          <w:rFonts w:ascii="Arial" w:hAnsi="Arial" w:cs="Arial"/>
          <w:sz w:val="24"/>
          <w:szCs w:val="24"/>
          <w:lang w:val="es-ES"/>
        </w:rPr>
        <w:t xml:space="preserve"> se relacionan los pagos efectuados por concepto de telefonía celular, que incluye planes, minutos, datos, celulares, SIM y baterías correspondientes </w:t>
      </w:r>
      <w:r>
        <w:rPr>
          <w:rFonts w:ascii="Arial" w:hAnsi="Arial" w:cs="Arial"/>
          <w:sz w:val="24"/>
          <w:szCs w:val="24"/>
          <w:lang w:val="es-ES"/>
        </w:rPr>
        <w:t>a los servicios contratados, registrando un incremento</w:t>
      </w:r>
      <w:r w:rsidRPr="00786B2E">
        <w:rPr>
          <w:rFonts w:ascii="Arial" w:hAnsi="Arial" w:cs="Arial"/>
          <w:sz w:val="24"/>
          <w:szCs w:val="24"/>
          <w:lang w:val="es-ES"/>
        </w:rPr>
        <w:t xml:space="preserve"> del </w:t>
      </w:r>
      <w:r>
        <w:rPr>
          <w:rFonts w:ascii="Arial" w:hAnsi="Arial" w:cs="Arial"/>
          <w:sz w:val="24"/>
          <w:szCs w:val="24"/>
          <w:lang w:val="es-ES"/>
        </w:rPr>
        <w:t xml:space="preserve">10,7% </w:t>
      </w:r>
      <w:r w:rsidRPr="00786B2E">
        <w:rPr>
          <w:rFonts w:ascii="Arial" w:hAnsi="Arial" w:cs="Arial"/>
          <w:sz w:val="24"/>
          <w:szCs w:val="24"/>
          <w:lang w:val="es-ES"/>
        </w:rPr>
        <w:t>entre</w:t>
      </w:r>
      <w:r>
        <w:rPr>
          <w:rFonts w:ascii="Arial" w:hAnsi="Arial" w:cs="Arial"/>
          <w:sz w:val="24"/>
          <w:szCs w:val="24"/>
          <w:lang w:val="es-ES"/>
        </w:rPr>
        <w:t xml:space="preserve"> las vigencias evaluadas; situación que obedece a los cambios de operador que la Empresa ha realizado.</w:t>
      </w:r>
    </w:p>
    <w:p w:rsidR="00CE53D0" w:rsidRDefault="00CE53D0">
      <w:pPr>
        <w:rPr>
          <w:rFonts w:ascii="Arial" w:hAnsi="Arial" w:cs="Arial"/>
          <w:sz w:val="24"/>
          <w:szCs w:val="24"/>
          <w:lang w:val="es-ES"/>
        </w:rPr>
      </w:pPr>
      <w:r>
        <w:rPr>
          <w:rFonts w:ascii="Arial" w:hAnsi="Arial" w:cs="Arial"/>
          <w:sz w:val="24"/>
          <w:szCs w:val="24"/>
          <w:lang w:val="es-ES"/>
        </w:rPr>
        <w:br w:type="page"/>
      </w:r>
    </w:p>
    <w:p w:rsidR="00034735" w:rsidRDefault="00034735" w:rsidP="00034735">
      <w:pPr>
        <w:jc w:val="both"/>
        <w:rPr>
          <w:rFonts w:ascii="Arial" w:hAnsi="Arial" w:cs="Arial"/>
          <w:sz w:val="24"/>
          <w:szCs w:val="24"/>
          <w:lang w:val="es-ES"/>
        </w:rPr>
      </w:pPr>
    </w:p>
    <w:p w:rsidR="00034735" w:rsidRPr="005A0F6C" w:rsidRDefault="00946A4E" w:rsidP="00946A4E">
      <w:pPr>
        <w:pStyle w:val="Ttulo2"/>
      </w:pPr>
      <w:bookmarkStart w:id="3" w:name="_Toc485983814"/>
      <w:r>
        <w:t>-</w:t>
      </w:r>
      <w:r w:rsidR="00034735" w:rsidRPr="00AF5502">
        <w:t xml:space="preserve"> Impresión y Fotocopiado</w:t>
      </w:r>
      <w:bookmarkEnd w:id="3"/>
    </w:p>
    <w:p w:rsidR="00034735" w:rsidRDefault="00034735" w:rsidP="00034735">
      <w:pPr>
        <w:jc w:val="both"/>
        <w:rPr>
          <w:rFonts w:ascii="Arial" w:hAnsi="Arial" w:cs="Arial"/>
          <w:lang w:val="es-ES"/>
        </w:rPr>
      </w:pPr>
      <w:r>
        <w:rPr>
          <w:rFonts w:ascii="Arial" w:hAnsi="Arial" w:cs="Arial"/>
          <w:lang w:val="es-ES"/>
        </w:rPr>
        <w:t>Teniendo en cuenta la información reportada por la Dirección de Servicios Administrativos para las vigencias 2018 y 2019, se observa el siguiente comportamiento:</w:t>
      </w:r>
    </w:p>
    <w:p w:rsidR="00034735" w:rsidRPr="00C22D48" w:rsidRDefault="00034735" w:rsidP="00CE53D0">
      <w:pPr>
        <w:pStyle w:val="Descripcin"/>
        <w:keepNext/>
        <w:numPr>
          <w:ilvl w:val="0"/>
          <w:numId w:val="7"/>
        </w:numPr>
        <w:spacing w:before="240" w:after="240"/>
        <w:ind w:left="714" w:hanging="357"/>
        <w:rPr>
          <w:b/>
          <w:color w:val="auto"/>
          <w:sz w:val="24"/>
        </w:rPr>
      </w:pPr>
      <w:r>
        <w:rPr>
          <w:b/>
          <w:color w:val="auto"/>
          <w:sz w:val="24"/>
        </w:rPr>
        <w:t>Ilustración 6</w:t>
      </w:r>
      <w:r w:rsidRPr="00C22D48">
        <w:rPr>
          <w:b/>
          <w:color w:val="auto"/>
          <w:sz w:val="24"/>
        </w:rPr>
        <w:t>. Elementos impresión (Tóner, Cartuchos y otros) ene-</w:t>
      </w:r>
      <w:proofErr w:type="spellStart"/>
      <w:r w:rsidRPr="00C22D48">
        <w:rPr>
          <w:b/>
          <w:color w:val="auto"/>
          <w:sz w:val="24"/>
        </w:rPr>
        <w:t>may</w:t>
      </w:r>
      <w:proofErr w:type="spellEnd"/>
      <w:r w:rsidRPr="00C22D48">
        <w:rPr>
          <w:b/>
          <w:color w:val="auto"/>
          <w:sz w:val="24"/>
        </w:rPr>
        <w:t xml:space="preserve"> 2019</w:t>
      </w:r>
    </w:p>
    <w:p w:rsidR="00034735" w:rsidRDefault="00034735" w:rsidP="00034735">
      <w:pPr>
        <w:ind w:left="1418"/>
        <w:jc w:val="both"/>
        <w:rPr>
          <w:rFonts w:ascii="Arial" w:hAnsi="Arial" w:cs="Arial"/>
          <w:sz w:val="16"/>
          <w:szCs w:val="24"/>
        </w:rPr>
      </w:pPr>
      <w:r>
        <w:rPr>
          <w:noProof/>
          <w:lang w:eastAsia="es-CO"/>
        </w:rPr>
        <w:drawing>
          <wp:inline distT="0" distB="0" distL="0" distR="0" wp14:anchorId="1896C8DB" wp14:editId="6BA42C22">
            <wp:extent cx="4572000" cy="2743200"/>
            <wp:effectExtent l="0" t="0" r="0" b="0"/>
            <wp:docPr id="6" name="Grá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034735" w:rsidRPr="00FF5909" w:rsidRDefault="00034735" w:rsidP="00034735">
      <w:pPr>
        <w:ind w:left="1418"/>
        <w:jc w:val="both"/>
        <w:rPr>
          <w:rFonts w:ascii="Arial" w:hAnsi="Arial" w:cs="Arial"/>
          <w:sz w:val="16"/>
          <w:szCs w:val="24"/>
        </w:rPr>
      </w:pPr>
      <w:r w:rsidRPr="00FF5909">
        <w:rPr>
          <w:rFonts w:ascii="Arial" w:hAnsi="Arial" w:cs="Arial"/>
          <w:sz w:val="16"/>
          <w:szCs w:val="24"/>
        </w:rPr>
        <w:t>Fuente: Dirección de Servicios Administrativos - OCIG</w:t>
      </w:r>
    </w:p>
    <w:p w:rsidR="00034735" w:rsidRDefault="00034735" w:rsidP="00034735">
      <w:pPr>
        <w:jc w:val="both"/>
        <w:rPr>
          <w:rFonts w:ascii="Arial" w:hAnsi="Arial" w:cs="Arial"/>
          <w:sz w:val="24"/>
          <w:szCs w:val="24"/>
        </w:rPr>
      </w:pPr>
      <w:r>
        <w:rPr>
          <w:rFonts w:ascii="Arial" w:hAnsi="Arial" w:cs="Arial"/>
          <w:sz w:val="24"/>
          <w:szCs w:val="24"/>
        </w:rPr>
        <w:t>El rubro de impresión y fotocopiado presenta un comportamiento relativamente estable, ya que la variación entre las vigencias obedece a los incrementos de los insumos durante la vigencia 2019.</w:t>
      </w:r>
    </w:p>
    <w:p w:rsidR="00034735" w:rsidRDefault="00034735" w:rsidP="00034735">
      <w:pPr>
        <w:jc w:val="both"/>
        <w:rPr>
          <w:rFonts w:ascii="Arial" w:hAnsi="Arial" w:cs="Arial"/>
          <w:sz w:val="24"/>
          <w:szCs w:val="24"/>
        </w:rPr>
      </w:pPr>
    </w:p>
    <w:p w:rsidR="00034735" w:rsidRPr="00A434D4" w:rsidRDefault="00946A4E" w:rsidP="00CE53D0">
      <w:pPr>
        <w:pStyle w:val="Ttulo2"/>
      </w:pPr>
      <w:r>
        <w:t>-</w:t>
      </w:r>
      <w:r w:rsidR="00034735" w:rsidRPr="002F27D6">
        <w:t>Honorarios</w:t>
      </w:r>
    </w:p>
    <w:p w:rsidR="00034735" w:rsidRDefault="00034735" w:rsidP="00034735">
      <w:pPr>
        <w:jc w:val="both"/>
        <w:rPr>
          <w:rFonts w:ascii="Arial" w:hAnsi="Arial" w:cs="Arial"/>
        </w:rPr>
      </w:pPr>
      <w:r w:rsidRPr="00F51946">
        <w:rPr>
          <w:rFonts w:ascii="Arial" w:hAnsi="Arial" w:cs="Arial"/>
        </w:rPr>
        <w:t>Los costos de honorarios comprenden asesoría jurídica y técnica, consultoría, prestación de servicios y remuneración de servicios técnicos.</w:t>
      </w:r>
    </w:p>
    <w:p w:rsidR="00034735" w:rsidRPr="00A434D4" w:rsidRDefault="00034735" w:rsidP="00034735">
      <w:pPr>
        <w:jc w:val="both"/>
        <w:rPr>
          <w:rFonts w:ascii="Arial" w:hAnsi="Arial" w:cs="Arial"/>
        </w:rPr>
      </w:pPr>
      <w:r>
        <w:rPr>
          <w:rFonts w:ascii="Arial" w:hAnsi="Arial" w:cs="Arial"/>
        </w:rPr>
        <w:t xml:space="preserve">Para la vigencia 2018, esta </w:t>
      </w:r>
      <w:r w:rsidR="00CE53D0">
        <w:rPr>
          <w:rFonts w:ascii="Arial" w:hAnsi="Arial" w:cs="Arial"/>
        </w:rPr>
        <w:t xml:space="preserve">Oficina </w:t>
      </w:r>
      <w:r>
        <w:rPr>
          <w:rFonts w:ascii="Arial" w:hAnsi="Arial" w:cs="Arial"/>
        </w:rPr>
        <w:t>no cuenta con información detallada que permita realizar un análisis comparativo de los periodos; por tanto se tomará como punto de referencia la información suministrada por el área responsable a partir de la vigencia 2019.</w:t>
      </w:r>
    </w:p>
    <w:p w:rsidR="00CE53D0" w:rsidRDefault="00CE53D0">
      <w:pPr>
        <w:rPr>
          <w:rFonts w:ascii="Arial" w:hAnsi="Arial" w:cs="Arial"/>
          <w:b/>
          <w:i/>
          <w:iCs/>
          <w:sz w:val="24"/>
          <w:szCs w:val="24"/>
        </w:rPr>
      </w:pPr>
      <w:r>
        <w:rPr>
          <w:rFonts w:ascii="Arial" w:hAnsi="Arial" w:cs="Arial"/>
          <w:b/>
          <w:i/>
          <w:iCs/>
          <w:sz w:val="24"/>
          <w:szCs w:val="24"/>
        </w:rPr>
        <w:br w:type="page"/>
      </w:r>
    </w:p>
    <w:p w:rsidR="00034735" w:rsidRDefault="00034735" w:rsidP="00034735">
      <w:pPr>
        <w:jc w:val="both"/>
        <w:rPr>
          <w:rFonts w:ascii="Arial" w:hAnsi="Arial" w:cs="Arial"/>
          <w:b/>
          <w:i/>
          <w:iCs/>
          <w:sz w:val="24"/>
          <w:szCs w:val="24"/>
        </w:rPr>
      </w:pPr>
    </w:p>
    <w:p w:rsidR="00034735" w:rsidRPr="00BC7A9C" w:rsidRDefault="00034735" w:rsidP="00034735">
      <w:pPr>
        <w:pStyle w:val="Descripcin"/>
        <w:keepNext/>
        <w:numPr>
          <w:ilvl w:val="0"/>
          <w:numId w:val="7"/>
        </w:numPr>
        <w:spacing w:after="0"/>
        <w:rPr>
          <w:rFonts w:cs="Arial"/>
          <w:b/>
          <w:color w:val="auto"/>
          <w:sz w:val="24"/>
          <w:szCs w:val="24"/>
        </w:rPr>
      </w:pPr>
      <w:r>
        <w:rPr>
          <w:rFonts w:cs="Arial"/>
          <w:b/>
          <w:color w:val="auto"/>
          <w:sz w:val="24"/>
          <w:szCs w:val="24"/>
        </w:rPr>
        <w:t>Ilustración 7</w:t>
      </w:r>
      <w:r w:rsidRPr="00BC7A9C">
        <w:rPr>
          <w:rFonts w:cs="Arial"/>
          <w:b/>
          <w:color w:val="auto"/>
          <w:sz w:val="24"/>
          <w:szCs w:val="24"/>
        </w:rPr>
        <w:t xml:space="preserve">. Distribución contratación OPS </w:t>
      </w:r>
      <w:r>
        <w:rPr>
          <w:rFonts w:cs="Arial"/>
          <w:b/>
          <w:color w:val="auto"/>
          <w:sz w:val="24"/>
          <w:szCs w:val="24"/>
        </w:rPr>
        <w:t>por estado</w:t>
      </w:r>
      <w:r w:rsidRPr="00BC7A9C">
        <w:rPr>
          <w:rFonts w:cs="Arial"/>
          <w:b/>
          <w:color w:val="auto"/>
          <w:sz w:val="24"/>
          <w:szCs w:val="24"/>
        </w:rPr>
        <w:t xml:space="preserve"> 2019</w:t>
      </w:r>
    </w:p>
    <w:p w:rsidR="00034735" w:rsidRPr="000A2A16" w:rsidRDefault="00034735" w:rsidP="00034735">
      <w:pPr>
        <w:rPr>
          <w:highlight w:val="yellow"/>
        </w:rPr>
      </w:pPr>
    </w:p>
    <w:p w:rsidR="00034735" w:rsidRDefault="00034735" w:rsidP="00034735">
      <w:pPr>
        <w:jc w:val="center"/>
        <w:rPr>
          <w:rFonts w:ascii="Arial" w:hAnsi="Arial" w:cs="Arial"/>
          <w:sz w:val="18"/>
          <w:szCs w:val="24"/>
        </w:rPr>
      </w:pPr>
      <w:r>
        <w:rPr>
          <w:noProof/>
          <w:lang w:eastAsia="es-CO"/>
        </w:rPr>
        <w:drawing>
          <wp:inline distT="0" distB="0" distL="0" distR="0" wp14:anchorId="79C8DE8F" wp14:editId="2A0F0CA9">
            <wp:extent cx="4572000" cy="2743200"/>
            <wp:effectExtent l="0" t="0" r="0" b="0"/>
            <wp:docPr id="7" name="Gráfico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034735" w:rsidRPr="00BC7A9C" w:rsidRDefault="00034735" w:rsidP="00034735">
      <w:pPr>
        <w:jc w:val="center"/>
      </w:pPr>
      <w:r w:rsidRPr="00BC7A9C">
        <w:rPr>
          <w:rFonts w:ascii="Arial" w:hAnsi="Arial" w:cs="Arial"/>
          <w:sz w:val="18"/>
          <w:szCs w:val="24"/>
        </w:rPr>
        <w:t>Fuente: OCIG – Dir. Contratación y Compras.</w:t>
      </w:r>
    </w:p>
    <w:p w:rsidR="00034735" w:rsidRPr="000A2A16" w:rsidRDefault="00034735" w:rsidP="00034735">
      <w:pPr>
        <w:jc w:val="both"/>
        <w:rPr>
          <w:rFonts w:ascii="Arial" w:hAnsi="Arial" w:cs="Arial"/>
          <w:sz w:val="24"/>
          <w:highlight w:val="yellow"/>
        </w:rPr>
      </w:pPr>
    </w:p>
    <w:p w:rsidR="00034735" w:rsidRDefault="00034735" w:rsidP="00034735">
      <w:pPr>
        <w:jc w:val="both"/>
        <w:rPr>
          <w:rFonts w:ascii="Arial" w:hAnsi="Arial" w:cs="Arial"/>
          <w:sz w:val="24"/>
        </w:rPr>
      </w:pPr>
      <w:r w:rsidRPr="00BC7A9C">
        <w:rPr>
          <w:rFonts w:ascii="Arial" w:hAnsi="Arial" w:cs="Arial"/>
          <w:sz w:val="24"/>
        </w:rPr>
        <w:t xml:space="preserve">En la </w:t>
      </w:r>
      <w:r>
        <w:rPr>
          <w:rFonts w:ascii="Arial" w:hAnsi="Arial" w:cs="Arial"/>
          <w:sz w:val="24"/>
        </w:rPr>
        <w:t>Ilustración 7</w:t>
      </w:r>
      <w:r w:rsidRPr="00BC7A9C">
        <w:rPr>
          <w:rFonts w:ascii="Arial" w:hAnsi="Arial" w:cs="Arial"/>
          <w:sz w:val="24"/>
        </w:rPr>
        <w:t>, se observa la participación porcentual de cada un</w:t>
      </w:r>
      <w:r>
        <w:rPr>
          <w:rFonts w:ascii="Arial" w:hAnsi="Arial" w:cs="Arial"/>
          <w:sz w:val="24"/>
        </w:rPr>
        <w:t>o</w:t>
      </w:r>
      <w:r w:rsidRPr="00BC7A9C">
        <w:rPr>
          <w:rFonts w:ascii="Arial" w:hAnsi="Arial" w:cs="Arial"/>
          <w:sz w:val="24"/>
        </w:rPr>
        <w:t xml:space="preserve"> de l</w:t>
      </w:r>
      <w:r>
        <w:rPr>
          <w:rFonts w:ascii="Arial" w:hAnsi="Arial" w:cs="Arial"/>
          <w:sz w:val="24"/>
        </w:rPr>
        <w:t>o</w:t>
      </w:r>
      <w:r w:rsidRPr="00BC7A9C">
        <w:rPr>
          <w:rFonts w:ascii="Arial" w:hAnsi="Arial" w:cs="Arial"/>
          <w:sz w:val="24"/>
        </w:rPr>
        <w:t xml:space="preserve">s </w:t>
      </w:r>
      <w:r>
        <w:rPr>
          <w:rFonts w:ascii="Arial" w:hAnsi="Arial" w:cs="Arial"/>
          <w:sz w:val="24"/>
        </w:rPr>
        <w:t xml:space="preserve">estados de los contratos </w:t>
      </w:r>
      <w:r w:rsidRPr="00BC7A9C">
        <w:rPr>
          <w:rFonts w:ascii="Arial" w:hAnsi="Arial" w:cs="Arial"/>
          <w:sz w:val="24"/>
        </w:rPr>
        <w:t xml:space="preserve">de OPS para </w:t>
      </w:r>
      <w:r>
        <w:rPr>
          <w:rFonts w:ascii="Arial" w:hAnsi="Arial" w:cs="Arial"/>
          <w:sz w:val="24"/>
        </w:rPr>
        <w:t>la vigencia</w:t>
      </w:r>
      <w:r w:rsidRPr="00BC7A9C">
        <w:rPr>
          <w:rFonts w:ascii="Arial" w:hAnsi="Arial" w:cs="Arial"/>
          <w:sz w:val="24"/>
        </w:rPr>
        <w:t xml:space="preserve"> 2019, registrando mayor peso porcentual en </w:t>
      </w:r>
      <w:r>
        <w:rPr>
          <w:rFonts w:ascii="Arial" w:hAnsi="Arial" w:cs="Arial"/>
          <w:sz w:val="24"/>
        </w:rPr>
        <w:t>el estado de ejecuc</w:t>
      </w:r>
      <w:r w:rsidR="00946A4E">
        <w:rPr>
          <w:rFonts w:ascii="Arial" w:hAnsi="Arial" w:cs="Arial"/>
          <w:sz w:val="24"/>
        </w:rPr>
        <w:t>ión</w:t>
      </w:r>
    </w:p>
    <w:p w:rsidR="00034735" w:rsidRDefault="00034735" w:rsidP="00034735">
      <w:pPr>
        <w:jc w:val="both"/>
        <w:rPr>
          <w:rFonts w:ascii="Arial" w:hAnsi="Arial" w:cs="Arial"/>
          <w:sz w:val="24"/>
        </w:rPr>
      </w:pPr>
      <w:r>
        <w:rPr>
          <w:rFonts w:ascii="Arial" w:hAnsi="Arial" w:cs="Arial"/>
          <w:sz w:val="24"/>
        </w:rPr>
        <w:t>Para</w:t>
      </w:r>
      <w:r w:rsidR="00FA01BE">
        <w:rPr>
          <w:rFonts w:ascii="Arial" w:hAnsi="Arial" w:cs="Arial"/>
          <w:sz w:val="24"/>
        </w:rPr>
        <w:t xml:space="preserve"> el periodo evaluado en la </w:t>
      </w:r>
      <w:r>
        <w:rPr>
          <w:rFonts w:ascii="Arial" w:hAnsi="Arial" w:cs="Arial"/>
          <w:sz w:val="24"/>
        </w:rPr>
        <w:t>vigencia 2019 se suscribieron 65 contratos de OPS por un valor de $</w:t>
      </w:r>
      <w:r w:rsidRPr="002F27D6">
        <w:rPr>
          <w:rFonts w:ascii="Arial" w:hAnsi="Arial" w:cs="Arial"/>
          <w:sz w:val="24"/>
        </w:rPr>
        <w:t>2</w:t>
      </w:r>
      <w:r>
        <w:rPr>
          <w:rFonts w:ascii="Arial" w:hAnsi="Arial" w:cs="Arial"/>
          <w:sz w:val="24"/>
        </w:rPr>
        <w:t>.</w:t>
      </w:r>
      <w:r w:rsidRPr="002F27D6">
        <w:rPr>
          <w:rFonts w:ascii="Arial" w:hAnsi="Arial" w:cs="Arial"/>
          <w:sz w:val="24"/>
        </w:rPr>
        <w:t>387</w:t>
      </w:r>
      <w:r>
        <w:rPr>
          <w:rFonts w:ascii="Arial" w:hAnsi="Arial" w:cs="Arial"/>
          <w:sz w:val="24"/>
        </w:rPr>
        <w:t>.</w:t>
      </w:r>
      <w:r w:rsidRPr="002F27D6">
        <w:rPr>
          <w:rFonts w:ascii="Arial" w:hAnsi="Arial" w:cs="Arial"/>
          <w:sz w:val="24"/>
        </w:rPr>
        <w:t>370</w:t>
      </w:r>
      <w:r>
        <w:rPr>
          <w:rFonts w:ascii="Arial" w:hAnsi="Arial" w:cs="Arial"/>
          <w:sz w:val="24"/>
        </w:rPr>
        <w:t>.</w:t>
      </w:r>
      <w:r w:rsidRPr="002F27D6">
        <w:rPr>
          <w:rFonts w:ascii="Arial" w:hAnsi="Arial" w:cs="Arial"/>
          <w:sz w:val="24"/>
        </w:rPr>
        <w:t>920</w:t>
      </w:r>
      <w:r>
        <w:rPr>
          <w:rFonts w:ascii="Arial" w:hAnsi="Arial" w:cs="Arial"/>
          <w:sz w:val="24"/>
        </w:rPr>
        <w:t>.</w:t>
      </w:r>
    </w:p>
    <w:p w:rsidR="00034735" w:rsidRDefault="00034735" w:rsidP="00034735">
      <w:pPr>
        <w:jc w:val="both"/>
        <w:rPr>
          <w:rFonts w:ascii="Arial" w:hAnsi="Arial" w:cs="Arial"/>
          <w:sz w:val="24"/>
        </w:rPr>
      </w:pPr>
    </w:p>
    <w:p w:rsidR="00034735" w:rsidRPr="000860AA" w:rsidRDefault="001505B6" w:rsidP="00CE53D0">
      <w:pPr>
        <w:pStyle w:val="Ttulo2"/>
      </w:pPr>
      <w:r>
        <w:t>-</w:t>
      </w:r>
      <w:r w:rsidR="00034735" w:rsidRPr="00A92BCE">
        <w:t>Publicidad y Propaganda</w:t>
      </w:r>
    </w:p>
    <w:p w:rsidR="00034735" w:rsidRDefault="00034735" w:rsidP="00034735">
      <w:pPr>
        <w:jc w:val="both"/>
        <w:rPr>
          <w:rFonts w:ascii="Arial" w:hAnsi="Arial" w:cs="Arial"/>
          <w:sz w:val="24"/>
          <w:szCs w:val="16"/>
        </w:rPr>
      </w:pPr>
      <w:r w:rsidRPr="000860AA">
        <w:rPr>
          <w:rFonts w:ascii="Arial" w:hAnsi="Arial" w:cs="Arial"/>
          <w:sz w:val="24"/>
          <w:szCs w:val="16"/>
        </w:rPr>
        <w:t xml:space="preserve">De acuerdo con la información suministrada por la Oficina </w:t>
      </w:r>
      <w:r w:rsidR="00CE53D0" w:rsidRPr="000860AA">
        <w:rPr>
          <w:rFonts w:ascii="Arial" w:hAnsi="Arial" w:cs="Arial"/>
          <w:sz w:val="24"/>
          <w:szCs w:val="16"/>
        </w:rPr>
        <w:t xml:space="preserve">Asesora </w:t>
      </w:r>
      <w:r w:rsidRPr="000860AA">
        <w:rPr>
          <w:rFonts w:ascii="Arial" w:hAnsi="Arial" w:cs="Arial"/>
          <w:sz w:val="24"/>
          <w:szCs w:val="16"/>
        </w:rPr>
        <w:t xml:space="preserve">de Imagen Corporativa y </w:t>
      </w:r>
      <w:r w:rsidR="00CE53D0" w:rsidRPr="000860AA">
        <w:rPr>
          <w:rFonts w:ascii="Arial" w:hAnsi="Arial" w:cs="Arial"/>
          <w:sz w:val="24"/>
          <w:szCs w:val="16"/>
        </w:rPr>
        <w:t>Comunicaciones</w:t>
      </w:r>
      <w:r w:rsidR="00CE53D0">
        <w:rPr>
          <w:rFonts w:ascii="Arial" w:hAnsi="Arial" w:cs="Arial"/>
          <w:sz w:val="24"/>
          <w:szCs w:val="16"/>
        </w:rPr>
        <w:t xml:space="preserve"> </w:t>
      </w:r>
      <w:r w:rsidRPr="000860AA">
        <w:rPr>
          <w:rFonts w:ascii="Arial" w:hAnsi="Arial" w:cs="Arial"/>
          <w:sz w:val="24"/>
          <w:szCs w:val="16"/>
        </w:rPr>
        <w:t xml:space="preserve">“La Empresa de Acueducto y Alcantarillado de Bogotá – E.S.P, no desarrolla actividades de publicidad que impliquen pauta comercial en medios de comunicación, sino que a través </w:t>
      </w:r>
      <w:r>
        <w:rPr>
          <w:rFonts w:ascii="Arial" w:hAnsi="Arial" w:cs="Arial"/>
          <w:sz w:val="24"/>
          <w:szCs w:val="16"/>
        </w:rPr>
        <w:t>de la divulgación institucional</w:t>
      </w:r>
      <w:r w:rsidRPr="000860AA">
        <w:rPr>
          <w:rFonts w:ascii="Arial" w:hAnsi="Arial" w:cs="Arial"/>
          <w:sz w:val="24"/>
          <w:szCs w:val="16"/>
        </w:rPr>
        <w:t xml:space="preserve"> da a conocer sus políticas públicas, programas y proyectos dirigidos al servicio de los bogotan</w:t>
      </w:r>
      <w:r>
        <w:rPr>
          <w:rFonts w:ascii="Arial" w:hAnsi="Arial" w:cs="Arial"/>
          <w:sz w:val="24"/>
          <w:szCs w:val="16"/>
        </w:rPr>
        <w:t>os.”, E</w:t>
      </w:r>
      <w:r w:rsidRPr="000860AA">
        <w:rPr>
          <w:rFonts w:ascii="Arial" w:hAnsi="Arial" w:cs="Arial"/>
          <w:sz w:val="24"/>
          <w:szCs w:val="16"/>
        </w:rPr>
        <w:t xml:space="preserve">sta </w:t>
      </w:r>
      <w:r w:rsidR="00CE53D0" w:rsidRPr="000860AA">
        <w:rPr>
          <w:rFonts w:ascii="Arial" w:hAnsi="Arial" w:cs="Arial"/>
          <w:sz w:val="24"/>
          <w:szCs w:val="16"/>
        </w:rPr>
        <w:t xml:space="preserve">Oficina </w:t>
      </w:r>
      <w:r w:rsidRPr="000860AA">
        <w:rPr>
          <w:rFonts w:ascii="Arial" w:hAnsi="Arial" w:cs="Arial"/>
          <w:sz w:val="24"/>
          <w:szCs w:val="16"/>
        </w:rPr>
        <w:t xml:space="preserve">evidenció que se suscribió el contrato interadministrativo 2-05-11700-0525-2019 entre la EAAB-ESP y la ETB S.A. por valor de </w:t>
      </w:r>
      <w:r w:rsidR="00CE53D0">
        <w:rPr>
          <w:rFonts w:ascii="Arial" w:hAnsi="Arial" w:cs="Arial"/>
          <w:sz w:val="24"/>
          <w:szCs w:val="16"/>
        </w:rPr>
        <w:t>$1.200.000.000 cuyo objeto es “</w:t>
      </w:r>
      <w:r w:rsidRPr="000860AA">
        <w:rPr>
          <w:rFonts w:ascii="Arial" w:hAnsi="Arial" w:cs="Arial"/>
          <w:sz w:val="24"/>
          <w:szCs w:val="16"/>
        </w:rPr>
        <w:t>Prestación de servicios para realizar el diseño, difusión y masificación permanente e integral de la información en medios masivos, comunitarios o a</w:t>
      </w:r>
      <w:r>
        <w:rPr>
          <w:rFonts w:ascii="Arial" w:hAnsi="Arial" w:cs="Arial"/>
          <w:sz w:val="24"/>
          <w:szCs w:val="16"/>
        </w:rPr>
        <w:t>lternativos de comunicación...”, con fecha de inicio 22 de marzo de 2019, con el que se desarrolló</w:t>
      </w:r>
      <w:r w:rsidRPr="00E318BC">
        <w:rPr>
          <w:rFonts w:ascii="Arial" w:hAnsi="Arial" w:cs="Arial"/>
          <w:sz w:val="24"/>
          <w:szCs w:val="16"/>
        </w:rPr>
        <w:t xml:space="preserve"> todo el proceso de divulgación institucional durante la vigencia 2019.</w:t>
      </w:r>
    </w:p>
    <w:p w:rsidR="00034735" w:rsidRPr="00034735" w:rsidRDefault="00034735" w:rsidP="00034735">
      <w:pPr>
        <w:jc w:val="both"/>
        <w:rPr>
          <w:rFonts w:ascii="Arial" w:hAnsi="Arial" w:cs="Arial"/>
          <w:sz w:val="24"/>
          <w:szCs w:val="16"/>
        </w:rPr>
      </w:pPr>
      <w:r w:rsidRPr="00034735">
        <w:rPr>
          <w:rFonts w:ascii="Arial" w:hAnsi="Arial" w:cs="Arial"/>
          <w:sz w:val="24"/>
          <w:szCs w:val="24"/>
          <w:lang w:val="es-ES"/>
        </w:rPr>
        <w:t xml:space="preserve">Esta </w:t>
      </w:r>
      <w:r w:rsidR="00CE53D0" w:rsidRPr="00034735">
        <w:rPr>
          <w:rFonts w:ascii="Arial" w:hAnsi="Arial" w:cs="Arial"/>
          <w:sz w:val="24"/>
          <w:szCs w:val="24"/>
          <w:lang w:val="es-ES"/>
        </w:rPr>
        <w:t xml:space="preserve">Oficina </w:t>
      </w:r>
      <w:r w:rsidRPr="00034735">
        <w:rPr>
          <w:rFonts w:ascii="Arial" w:hAnsi="Arial" w:cs="Arial"/>
          <w:sz w:val="24"/>
          <w:szCs w:val="24"/>
          <w:lang w:val="es-ES"/>
        </w:rPr>
        <w:t>recomienda</w:t>
      </w:r>
      <w:r w:rsidR="00160A0B">
        <w:rPr>
          <w:rFonts w:ascii="Arial" w:hAnsi="Arial" w:cs="Arial"/>
          <w:sz w:val="24"/>
          <w:szCs w:val="24"/>
          <w:lang w:val="es-ES"/>
        </w:rPr>
        <w:t xml:space="preserve"> que a partir del 2020, se definan los parámetros para dar cumplimiento al Acuerdo 719 de 2018 del Concejo de Bogotá y al Decreto 492 de 15 de agosto de 2019, que establecen lineamientos generales para promover medidas de austeridad y transparencia del gasto público; igualmente, </w:t>
      </w:r>
      <w:r w:rsidRPr="00034735">
        <w:rPr>
          <w:rFonts w:ascii="Arial" w:hAnsi="Arial" w:cs="Arial"/>
          <w:sz w:val="24"/>
          <w:szCs w:val="24"/>
          <w:lang w:val="es-ES"/>
        </w:rPr>
        <w:t>se defina</w:t>
      </w:r>
      <w:r w:rsidR="00160A0B">
        <w:rPr>
          <w:rFonts w:ascii="Arial" w:hAnsi="Arial" w:cs="Arial"/>
          <w:sz w:val="24"/>
          <w:szCs w:val="24"/>
          <w:lang w:val="es-ES"/>
        </w:rPr>
        <w:t>n</w:t>
      </w:r>
      <w:r w:rsidRPr="00034735">
        <w:rPr>
          <w:rFonts w:ascii="Arial" w:hAnsi="Arial" w:cs="Arial"/>
          <w:sz w:val="24"/>
          <w:szCs w:val="24"/>
          <w:lang w:val="es-ES"/>
        </w:rPr>
        <w:t xml:space="preserve"> los parámetros para dar cumplimiento al Decreto 492 de 15 de agosto de 2019, a partir de la vigencia 2020.</w:t>
      </w:r>
    </w:p>
    <w:p w:rsidR="00034735" w:rsidRPr="00034735" w:rsidRDefault="00034735" w:rsidP="00034735">
      <w:pPr>
        <w:jc w:val="both"/>
        <w:rPr>
          <w:rFonts w:ascii="Arial" w:hAnsi="Arial" w:cs="Arial"/>
          <w:color w:val="FF0000"/>
          <w:sz w:val="24"/>
          <w:szCs w:val="24"/>
          <w:lang w:val="es-ES"/>
        </w:rPr>
      </w:pPr>
    </w:p>
    <w:p w:rsidR="00946A4E" w:rsidRPr="00BC4001" w:rsidRDefault="0072305B" w:rsidP="00946A4E">
      <w:pPr>
        <w:jc w:val="both"/>
        <w:rPr>
          <w:rFonts w:ascii="Calibri" w:hAnsi="Calibri" w:cs="Calibri"/>
          <w:b/>
          <w:sz w:val="28"/>
          <w:szCs w:val="28"/>
        </w:rPr>
      </w:pPr>
      <w:bookmarkStart w:id="4" w:name="_Toc485983812"/>
      <w:r>
        <w:rPr>
          <w:rFonts w:ascii="Calibri" w:hAnsi="Calibri" w:cs="Calibri"/>
          <w:b/>
          <w:sz w:val="28"/>
          <w:szCs w:val="28"/>
        </w:rPr>
        <w:t>5.</w:t>
      </w:r>
      <w:r w:rsidR="007010B1" w:rsidRPr="00BC4001">
        <w:rPr>
          <w:rFonts w:ascii="Calibri" w:hAnsi="Calibri" w:cs="Calibri"/>
          <w:b/>
          <w:sz w:val="28"/>
          <w:szCs w:val="28"/>
        </w:rPr>
        <w:t>2</w:t>
      </w:r>
      <w:r w:rsidR="00946A4E" w:rsidRPr="00BC4001">
        <w:rPr>
          <w:rFonts w:ascii="Calibri" w:hAnsi="Calibri" w:cs="Calibri"/>
          <w:b/>
          <w:sz w:val="28"/>
          <w:szCs w:val="28"/>
        </w:rPr>
        <w:t>-</w:t>
      </w:r>
      <w:r w:rsidR="00A94060" w:rsidRPr="00BC4001">
        <w:rPr>
          <w:rFonts w:ascii="Calibri" w:hAnsi="Calibri" w:cs="Calibri"/>
          <w:b/>
          <w:sz w:val="28"/>
          <w:szCs w:val="28"/>
        </w:rPr>
        <w:t>Informe de auditoría al Proceso de Gestión Contractual – etapa precontractual:</w:t>
      </w:r>
    </w:p>
    <w:p w:rsidR="00A94060" w:rsidRPr="00FA01BE" w:rsidRDefault="0025215F" w:rsidP="0025215F">
      <w:pPr>
        <w:jc w:val="both"/>
        <w:rPr>
          <w:rFonts w:ascii="Arial" w:hAnsi="Arial" w:cs="Arial"/>
          <w:sz w:val="24"/>
          <w:szCs w:val="24"/>
          <w:lang w:val="es-ES"/>
        </w:rPr>
      </w:pPr>
      <w:r w:rsidRPr="0025215F">
        <w:rPr>
          <w:rFonts w:ascii="Arial" w:hAnsi="Arial" w:cs="Arial"/>
          <w:sz w:val="24"/>
          <w:szCs w:val="24"/>
          <w:lang w:val="es-ES"/>
        </w:rPr>
        <w:t xml:space="preserve">Se </w:t>
      </w:r>
      <w:r w:rsidR="00A94060" w:rsidRPr="0025215F">
        <w:rPr>
          <w:rFonts w:ascii="Arial" w:hAnsi="Arial" w:cs="Arial"/>
          <w:sz w:val="24"/>
          <w:szCs w:val="24"/>
          <w:lang w:val="es-ES"/>
        </w:rPr>
        <w:t xml:space="preserve">evidenció que la </w:t>
      </w:r>
      <w:r w:rsidRPr="0025215F">
        <w:rPr>
          <w:rFonts w:ascii="Arial" w:hAnsi="Arial" w:cs="Arial"/>
          <w:sz w:val="24"/>
          <w:szCs w:val="24"/>
          <w:lang w:val="es-ES"/>
        </w:rPr>
        <w:t xml:space="preserve">Empresa </w:t>
      </w:r>
      <w:r w:rsidR="00A94060" w:rsidRPr="0025215F">
        <w:rPr>
          <w:rFonts w:ascii="Arial" w:hAnsi="Arial" w:cs="Arial"/>
          <w:sz w:val="24"/>
          <w:szCs w:val="24"/>
          <w:lang w:val="es-ES"/>
        </w:rPr>
        <w:t>ha establecido políticas, manuales, procedimientos, circulares, matrices de riesgo, responsables y controles</w:t>
      </w:r>
      <w:r>
        <w:rPr>
          <w:rFonts w:ascii="Arial" w:hAnsi="Arial" w:cs="Arial"/>
          <w:sz w:val="24"/>
          <w:szCs w:val="24"/>
          <w:lang w:val="es-ES"/>
        </w:rPr>
        <w:t>. A</w:t>
      </w:r>
      <w:r w:rsidR="00A94060" w:rsidRPr="0025215F">
        <w:rPr>
          <w:rFonts w:ascii="Arial" w:hAnsi="Arial" w:cs="Arial"/>
          <w:sz w:val="24"/>
          <w:szCs w:val="24"/>
          <w:lang w:val="es-ES"/>
        </w:rPr>
        <w:t xml:space="preserve">unado a ello, las actividades de control se encuentran debidamente documentadas. En el contexto de objetivos específicos </w:t>
      </w:r>
      <w:r w:rsidR="00A94060" w:rsidRPr="00FA01BE">
        <w:rPr>
          <w:rFonts w:ascii="Arial" w:hAnsi="Arial" w:cs="Arial"/>
          <w:sz w:val="24"/>
          <w:szCs w:val="24"/>
          <w:lang w:val="es-ES"/>
        </w:rPr>
        <w:t xml:space="preserve">propuestos se </w:t>
      </w:r>
      <w:r w:rsidR="007E2839" w:rsidRPr="00FA01BE">
        <w:rPr>
          <w:rFonts w:ascii="Arial" w:hAnsi="Arial" w:cs="Arial"/>
          <w:sz w:val="24"/>
          <w:szCs w:val="24"/>
          <w:lang w:val="es-ES"/>
        </w:rPr>
        <w:t>señalan</w:t>
      </w:r>
      <w:r w:rsidR="00A94060" w:rsidRPr="00FA01BE">
        <w:rPr>
          <w:rFonts w:ascii="Arial" w:hAnsi="Arial" w:cs="Arial"/>
          <w:sz w:val="24"/>
          <w:szCs w:val="24"/>
          <w:lang w:val="es-ES"/>
        </w:rPr>
        <w:t xml:space="preserve"> las siguientes conclusiones:</w:t>
      </w:r>
    </w:p>
    <w:p w:rsidR="00A94060" w:rsidRPr="0025215F" w:rsidRDefault="007E2839" w:rsidP="0025215F">
      <w:pPr>
        <w:jc w:val="both"/>
        <w:rPr>
          <w:rFonts w:ascii="Arial" w:hAnsi="Arial" w:cs="Arial"/>
          <w:sz w:val="24"/>
          <w:szCs w:val="24"/>
          <w:lang w:val="es-ES"/>
        </w:rPr>
      </w:pPr>
      <w:r w:rsidRPr="00FA01BE">
        <w:rPr>
          <w:rFonts w:ascii="Arial" w:hAnsi="Arial" w:cs="Arial"/>
          <w:sz w:val="24"/>
          <w:szCs w:val="24"/>
          <w:lang w:val="es-ES"/>
        </w:rPr>
        <w:t>R</w:t>
      </w:r>
      <w:r w:rsidR="00A94060" w:rsidRPr="00FA01BE">
        <w:rPr>
          <w:rFonts w:ascii="Arial" w:hAnsi="Arial" w:cs="Arial"/>
          <w:sz w:val="24"/>
          <w:szCs w:val="24"/>
          <w:lang w:val="es-ES"/>
        </w:rPr>
        <w:t xml:space="preserve">equerimientos recibidos por la </w:t>
      </w:r>
      <w:r w:rsidR="00FA01BE" w:rsidRPr="00FA01BE">
        <w:rPr>
          <w:rFonts w:ascii="Arial" w:hAnsi="Arial" w:cs="Arial"/>
          <w:sz w:val="24"/>
          <w:szCs w:val="24"/>
          <w:lang w:val="es-ES"/>
        </w:rPr>
        <w:t>O</w:t>
      </w:r>
      <w:r w:rsidR="0025215F" w:rsidRPr="00FA01BE">
        <w:rPr>
          <w:rFonts w:ascii="Arial" w:hAnsi="Arial" w:cs="Arial"/>
          <w:sz w:val="24"/>
          <w:szCs w:val="24"/>
          <w:lang w:val="es-ES"/>
        </w:rPr>
        <w:t xml:space="preserve">ficina </w:t>
      </w:r>
      <w:r w:rsidR="00A94060" w:rsidRPr="00FA01BE">
        <w:rPr>
          <w:rFonts w:ascii="Arial" w:hAnsi="Arial" w:cs="Arial"/>
          <w:sz w:val="24"/>
          <w:szCs w:val="24"/>
          <w:lang w:val="es-ES"/>
        </w:rPr>
        <w:t xml:space="preserve">de </w:t>
      </w:r>
      <w:r w:rsidR="00FA01BE" w:rsidRPr="00FA01BE">
        <w:rPr>
          <w:rFonts w:ascii="Arial" w:hAnsi="Arial" w:cs="Arial"/>
          <w:sz w:val="24"/>
          <w:szCs w:val="24"/>
          <w:lang w:val="es-ES"/>
        </w:rPr>
        <w:t xml:space="preserve">Control Interno y gestión </w:t>
      </w:r>
      <w:r w:rsidR="00A94060" w:rsidRPr="00FA01BE">
        <w:rPr>
          <w:rFonts w:ascii="Arial" w:hAnsi="Arial" w:cs="Arial"/>
          <w:sz w:val="24"/>
          <w:szCs w:val="24"/>
          <w:lang w:val="es-ES"/>
        </w:rPr>
        <w:t xml:space="preserve"> y los derechos</w:t>
      </w:r>
      <w:r w:rsidR="00A94060" w:rsidRPr="0025215F">
        <w:rPr>
          <w:rFonts w:ascii="Arial" w:hAnsi="Arial" w:cs="Arial"/>
          <w:sz w:val="24"/>
          <w:szCs w:val="24"/>
          <w:lang w:val="es-ES"/>
        </w:rPr>
        <w:t xml:space="preserve"> de petic</w:t>
      </w:r>
      <w:r w:rsidRPr="0025215F">
        <w:rPr>
          <w:rFonts w:ascii="Arial" w:hAnsi="Arial" w:cs="Arial"/>
          <w:sz w:val="24"/>
          <w:szCs w:val="24"/>
          <w:lang w:val="es-ES"/>
        </w:rPr>
        <w:t>ión:</w:t>
      </w:r>
    </w:p>
    <w:p w:rsidR="007E2839" w:rsidRPr="0025215F" w:rsidRDefault="007E2839" w:rsidP="0025215F">
      <w:pPr>
        <w:jc w:val="both"/>
        <w:rPr>
          <w:rFonts w:ascii="Arial" w:hAnsi="Arial" w:cs="Arial"/>
          <w:sz w:val="24"/>
          <w:szCs w:val="24"/>
          <w:lang w:val="es-ES"/>
        </w:rPr>
      </w:pPr>
      <w:r w:rsidRPr="0025215F">
        <w:rPr>
          <w:rFonts w:ascii="Arial" w:hAnsi="Arial" w:cs="Arial"/>
          <w:sz w:val="24"/>
          <w:szCs w:val="24"/>
          <w:lang w:val="es-ES"/>
        </w:rPr>
        <w:t xml:space="preserve">-Contrato 2-01-32100-1256-2018, la Gerencia de Servicio al Cliente remitió el informe técnico y jurídico. Revisado el informe se observó que la razón técnica que dio lugar al contrato, se sustentó en que el 26/11/2018 el Canal de la Avenida Boyacá entre calles 66 y </w:t>
      </w:r>
      <w:r w:rsidR="0025215F" w:rsidRPr="0025215F">
        <w:rPr>
          <w:rFonts w:ascii="Arial" w:hAnsi="Arial" w:cs="Arial"/>
          <w:sz w:val="24"/>
          <w:szCs w:val="24"/>
          <w:lang w:val="es-ES"/>
        </w:rPr>
        <w:t>66</w:t>
      </w:r>
      <w:r w:rsidR="0025215F">
        <w:rPr>
          <w:rFonts w:ascii="Arial" w:hAnsi="Arial" w:cs="Arial"/>
          <w:sz w:val="24"/>
          <w:szCs w:val="24"/>
          <w:lang w:val="es-ES"/>
        </w:rPr>
        <w:t>A</w:t>
      </w:r>
      <w:r w:rsidRPr="0025215F">
        <w:rPr>
          <w:rFonts w:ascii="Arial" w:hAnsi="Arial" w:cs="Arial"/>
          <w:sz w:val="24"/>
          <w:szCs w:val="24"/>
          <w:lang w:val="es-ES"/>
        </w:rPr>
        <w:t>, presentó una falla súbita en la estructura que hace parte del sistema pluvial de la Empresa, evidenciándose daños en el sumidero, estructura de la vía y talud del canal colapsado, lo que requirió intervención de emergencia para evitar poner en riesgo a la población y a la infraestructura urbana. Bajo estos parámetros, la OCIG encuentra justifica</w:t>
      </w:r>
      <w:r w:rsidR="0014727C" w:rsidRPr="0025215F">
        <w:rPr>
          <w:rFonts w:ascii="Arial" w:hAnsi="Arial" w:cs="Arial"/>
          <w:sz w:val="24"/>
          <w:szCs w:val="24"/>
          <w:lang w:val="es-ES"/>
        </w:rPr>
        <w:t>da</w:t>
      </w:r>
      <w:r w:rsidRPr="0025215F">
        <w:rPr>
          <w:rFonts w:ascii="Arial" w:hAnsi="Arial" w:cs="Arial"/>
          <w:sz w:val="24"/>
          <w:szCs w:val="24"/>
          <w:lang w:val="es-ES"/>
        </w:rPr>
        <w:t xml:space="preserve"> la necesidad del área de acudir a esta modalidad de contrato y considera ajustada jurídicamente </w:t>
      </w:r>
      <w:r w:rsidR="00434B03">
        <w:rPr>
          <w:rFonts w:ascii="Arial" w:hAnsi="Arial" w:cs="Arial"/>
          <w:sz w:val="24"/>
          <w:szCs w:val="24"/>
          <w:lang w:val="es-ES"/>
        </w:rPr>
        <w:t>la aplicación del literal e) del manual de Contratación.</w:t>
      </w:r>
    </w:p>
    <w:p w:rsidR="00FC2C4B" w:rsidRPr="0025215F" w:rsidRDefault="00FC2C4B" w:rsidP="0025215F">
      <w:pPr>
        <w:jc w:val="both"/>
        <w:rPr>
          <w:rFonts w:ascii="Arial" w:hAnsi="Arial" w:cs="Arial"/>
          <w:sz w:val="24"/>
          <w:szCs w:val="24"/>
          <w:lang w:val="es-ES"/>
        </w:rPr>
      </w:pPr>
      <w:r w:rsidRPr="0025215F">
        <w:rPr>
          <w:rFonts w:ascii="Arial" w:hAnsi="Arial" w:cs="Arial"/>
          <w:sz w:val="24"/>
          <w:szCs w:val="24"/>
          <w:lang w:val="es-ES"/>
        </w:rPr>
        <w:t>-Cumplimiento de requisitos de ley e internos del proceso precontractual: En la revisión de las actividades de los procedimientos sobre las carpetas de los contratos seleccionados, se encontró que la preparación del proceso de contratación ha sido más detallado y minucioso en su documentación.</w:t>
      </w:r>
    </w:p>
    <w:p w:rsidR="00FC2C4B" w:rsidRPr="0025215F" w:rsidRDefault="00FC2C4B" w:rsidP="0025215F">
      <w:pPr>
        <w:jc w:val="both"/>
        <w:rPr>
          <w:rFonts w:ascii="Arial" w:hAnsi="Arial" w:cs="Arial"/>
          <w:sz w:val="24"/>
          <w:szCs w:val="24"/>
          <w:lang w:val="es-ES"/>
        </w:rPr>
      </w:pPr>
      <w:r w:rsidRPr="0025215F">
        <w:rPr>
          <w:rFonts w:ascii="Arial" w:hAnsi="Arial" w:cs="Arial"/>
          <w:sz w:val="24"/>
          <w:szCs w:val="24"/>
          <w:lang w:val="es-ES"/>
        </w:rPr>
        <w:t>En cuanto al perfeccionamiento y liquidación de los contratos, se observó que cumplen los requisitos establecidos en el Manual de Contratación y los procedimientos.</w:t>
      </w:r>
    </w:p>
    <w:p w:rsidR="00FC2C4B" w:rsidRPr="0025215F" w:rsidRDefault="00FC2C4B" w:rsidP="0025215F">
      <w:pPr>
        <w:jc w:val="both"/>
        <w:rPr>
          <w:rFonts w:ascii="Arial" w:hAnsi="Arial" w:cs="Arial"/>
          <w:sz w:val="24"/>
          <w:szCs w:val="24"/>
          <w:lang w:val="es-ES"/>
        </w:rPr>
      </w:pPr>
      <w:r w:rsidRPr="0025215F">
        <w:rPr>
          <w:rFonts w:ascii="Arial" w:hAnsi="Arial" w:cs="Arial"/>
          <w:sz w:val="24"/>
          <w:szCs w:val="24"/>
          <w:lang w:val="es-ES"/>
        </w:rPr>
        <w:t>El área implementó controles para que las pólizas de las modificaciones sean allegadas en el término y condiciones requeridos.</w:t>
      </w:r>
    </w:p>
    <w:p w:rsidR="00FC2C4B" w:rsidRPr="0025215F" w:rsidRDefault="00FC2C4B" w:rsidP="0025215F">
      <w:pPr>
        <w:jc w:val="both"/>
        <w:rPr>
          <w:rFonts w:ascii="Arial" w:hAnsi="Arial" w:cs="Arial"/>
          <w:sz w:val="24"/>
          <w:szCs w:val="24"/>
          <w:lang w:val="es-ES"/>
        </w:rPr>
      </w:pPr>
      <w:r w:rsidRPr="0025215F">
        <w:rPr>
          <w:rFonts w:ascii="Arial" w:hAnsi="Arial" w:cs="Arial"/>
          <w:sz w:val="24"/>
          <w:szCs w:val="24"/>
          <w:lang w:val="es-ES"/>
        </w:rPr>
        <w:t>Como parte de las actividades del procedimiento MPFB0112P “Perfeccionamiento y legalización de contratos”, se dispuso en el numeral 3.1.</w:t>
      </w:r>
      <w:r w:rsidR="0025215F">
        <w:rPr>
          <w:rFonts w:ascii="Arial" w:hAnsi="Arial" w:cs="Arial"/>
          <w:sz w:val="24"/>
          <w:szCs w:val="24"/>
          <w:lang w:val="es-ES"/>
        </w:rPr>
        <w:t>,</w:t>
      </w:r>
      <w:r w:rsidRPr="0025215F">
        <w:rPr>
          <w:rFonts w:ascii="Arial" w:hAnsi="Arial" w:cs="Arial"/>
          <w:sz w:val="24"/>
          <w:szCs w:val="24"/>
          <w:lang w:val="es-ES"/>
        </w:rPr>
        <w:t xml:space="preserve"> el registro MPFB016F01 que evidencia la notificación de la adjudicación del contrato; la muestra fue de 21 procesos contractuales; de estos, 3 no requerían notificación por haber sido tramitados a través de Colombia Compra Eficiente y uno que correspondió a la invitación pública IA-1102-2019 por estar en trámite al momento de la prueba de recorrido.</w:t>
      </w:r>
    </w:p>
    <w:p w:rsidR="007269F5" w:rsidRPr="0025215F" w:rsidRDefault="00FC2C4B" w:rsidP="0025215F">
      <w:pPr>
        <w:jc w:val="both"/>
        <w:rPr>
          <w:rFonts w:ascii="Arial" w:hAnsi="Arial" w:cs="Arial"/>
          <w:sz w:val="24"/>
          <w:szCs w:val="24"/>
          <w:lang w:val="es-ES"/>
        </w:rPr>
      </w:pPr>
      <w:r w:rsidRPr="0025215F">
        <w:rPr>
          <w:rFonts w:ascii="Arial" w:hAnsi="Arial" w:cs="Arial"/>
          <w:sz w:val="24"/>
          <w:szCs w:val="24"/>
          <w:lang w:val="es-ES"/>
        </w:rPr>
        <w:t>La actividad 1.1.</w:t>
      </w:r>
      <w:r w:rsidR="0025215F">
        <w:rPr>
          <w:rFonts w:ascii="Arial" w:hAnsi="Arial" w:cs="Arial"/>
          <w:sz w:val="24"/>
          <w:szCs w:val="24"/>
          <w:lang w:val="es-ES"/>
        </w:rPr>
        <w:t>,</w:t>
      </w:r>
      <w:r w:rsidRPr="0025215F">
        <w:rPr>
          <w:rFonts w:ascii="Arial" w:hAnsi="Arial" w:cs="Arial"/>
          <w:sz w:val="24"/>
          <w:szCs w:val="24"/>
          <w:lang w:val="es-ES"/>
        </w:rPr>
        <w:t xml:space="preserve"> del procedimiento MPFB0108P “Invitación Pública” requirió aviso de prensa; la muestra fue de 12 invitaciones públicas, de estas, el 25%, esto es, 3 contratos (1-01-35100-1046-2016, 1-06-14500-0641-2018 y 1-05-35300-0639-2018) adoleció del registro. </w:t>
      </w:r>
    </w:p>
    <w:p w:rsidR="00FC2C4B" w:rsidRPr="0025215F" w:rsidRDefault="00FC2C4B" w:rsidP="0025215F">
      <w:pPr>
        <w:jc w:val="both"/>
        <w:rPr>
          <w:rFonts w:ascii="Arial" w:hAnsi="Arial" w:cs="Arial"/>
          <w:sz w:val="24"/>
          <w:szCs w:val="24"/>
          <w:lang w:val="es-ES"/>
        </w:rPr>
      </w:pPr>
      <w:r w:rsidRPr="0025215F">
        <w:rPr>
          <w:rFonts w:ascii="Arial" w:hAnsi="Arial" w:cs="Arial"/>
          <w:sz w:val="24"/>
          <w:szCs w:val="24"/>
          <w:lang w:val="es-ES"/>
        </w:rPr>
        <w:t>-La actividad 3.1.</w:t>
      </w:r>
      <w:r w:rsidR="0025215F">
        <w:rPr>
          <w:rFonts w:ascii="Arial" w:hAnsi="Arial" w:cs="Arial"/>
          <w:sz w:val="24"/>
          <w:szCs w:val="24"/>
          <w:lang w:val="es-ES"/>
        </w:rPr>
        <w:t>,</w:t>
      </w:r>
      <w:r w:rsidRPr="0025215F">
        <w:rPr>
          <w:rFonts w:ascii="Arial" w:hAnsi="Arial" w:cs="Arial"/>
          <w:sz w:val="24"/>
          <w:szCs w:val="24"/>
          <w:lang w:val="es-ES"/>
        </w:rPr>
        <w:t xml:space="preserve"> del procedimiento MPFB0112P “Perfeccionamiento y legalización de contratos” prevé que se “Notifica la adjudicación del contrato o la modificación del mismo, vía fax o correo electrónico, otorgando dos (2) días hábiles para la firma de la minuta”.</w:t>
      </w:r>
    </w:p>
    <w:p w:rsidR="00FC2C4B" w:rsidRPr="0025215F" w:rsidRDefault="00FC2C4B" w:rsidP="0025215F">
      <w:pPr>
        <w:jc w:val="both"/>
        <w:rPr>
          <w:rFonts w:ascii="Arial" w:hAnsi="Arial" w:cs="Arial"/>
          <w:sz w:val="24"/>
          <w:szCs w:val="24"/>
          <w:lang w:val="es-ES"/>
        </w:rPr>
      </w:pPr>
      <w:r w:rsidRPr="0025215F">
        <w:rPr>
          <w:rFonts w:ascii="Arial" w:hAnsi="Arial" w:cs="Arial"/>
          <w:sz w:val="24"/>
          <w:szCs w:val="24"/>
          <w:lang w:val="es-ES"/>
        </w:rPr>
        <w:t>De la muestra fueron 21 procesos contractu</w:t>
      </w:r>
      <w:r w:rsidR="0025215F">
        <w:rPr>
          <w:rFonts w:ascii="Arial" w:hAnsi="Arial" w:cs="Arial"/>
          <w:sz w:val="24"/>
          <w:szCs w:val="24"/>
          <w:lang w:val="es-ES"/>
        </w:rPr>
        <w:t>ales</w:t>
      </w:r>
      <w:r w:rsidR="00434B03">
        <w:rPr>
          <w:rFonts w:ascii="Arial" w:hAnsi="Arial" w:cs="Arial"/>
          <w:sz w:val="24"/>
          <w:szCs w:val="24"/>
          <w:lang w:val="es-ES"/>
        </w:rPr>
        <w:t xml:space="preserve">, 3 de estos no </w:t>
      </w:r>
      <w:r w:rsidR="0025215F">
        <w:rPr>
          <w:rFonts w:ascii="Arial" w:hAnsi="Arial" w:cs="Arial"/>
          <w:sz w:val="24"/>
          <w:szCs w:val="24"/>
          <w:lang w:val="es-ES"/>
        </w:rPr>
        <w:t xml:space="preserve"> requieren </w:t>
      </w:r>
      <w:r w:rsidRPr="0025215F">
        <w:rPr>
          <w:rFonts w:ascii="Arial" w:hAnsi="Arial" w:cs="Arial"/>
          <w:sz w:val="24"/>
          <w:szCs w:val="24"/>
          <w:lang w:val="es-ES"/>
        </w:rPr>
        <w:t>notificación por ser Colombia Compra Eficiente y la invitación pública IA-1102-2019 por estar en trámite al momento de la prueba de recorrido.</w:t>
      </w:r>
    </w:p>
    <w:p w:rsidR="00FC2C4B" w:rsidRPr="0025215F" w:rsidRDefault="00FC2C4B" w:rsidP="0025215F">
      <w:pPr>
        <w:jc w:val="both"/>
        <w:rPr>
          <w:rFonts w:ascii="Arial" w:hAnsi="Arial" w:cs="Arial"/>
          <w:sz w:val="24"/>
          <w:szCs w:val="24"/>
          <w:lang w:val="es-ES"/>
        </w:rPr>
      </w:pPr>
      <w:r w:rsidRPr="0025215F">
        <w:rPr>
          <w:rFonts w:ascii="Arial" w:hAnsi="Arial" w:cs="Arial"/>
          <w:sz w:val="24"/>
          <w:szCs w:val="24"/>
          <w:lang w:val="es-ES"/>
        </w:rPr>
        <w:t>Se recomienda que todos los documentos relacionados en las actividades de los procedimientos obren en las carpetas.</w:t>
      </w:r>
    </w:p>
    <w:p w:rsidR="00FC2C4B" w:rsidRPr="0025215F" w:rsidRDefault="00FC2C4B" w:rsidP="0025215F">
      <w:pPr>
        <w:jc w:val="both"/>
        <w:rPr>
          <w:rFonts w:ascii="Arial" w:hAnsi="Arial" w:cs="Arial"/>
          <w:sz w:val="24"/>
          <w:szCs w:val="24"/>
          <w:lang w:val="es-ES"/>
        </w:rPr>
      </w:pPr>
      <w:r w:rsidRPr="0025215F">
        <w:rPr>
          <w:rFonts w:ascii="Arial" w:hAnsi="Arial" w:cs="Arial"/>
          <w:sz w:val="24"/>
          <w:szCs w:val="24"/>
          <w:lang w:val="es-ES"/>
        </w:rPr>
        <w:t>- En la revisión del Acuerdo de Gestión, el área suscribió el proyecto “</w:t>
      </w:r>
      <w:hyperlink r:id="rId22" w:history="1">
        <w:r w:rsidRPr="0025215F">
          <w:rPr>
            <w:rFonts w:ascii="Arial" w:hAnsi="Arial" w:cs="Arial"/>
            <w:sz w:val="24"/>
            <w:szCs w:val="24"/>
            <w:lang w:val="es-ES"/>
          </w:rPr>
          <w:t>Implementar y Estabilizar la Herramienta Tecnológica ARIBA/SAP</w:t>
        </w:r>
      </w:hyperlink>
      <w:r w:rsidRPr="0025215F">
        <w:rPr>
          <w:rFonts w:ascii="Arial" w:hAnsi="Arial" w:cs="Arial"/>
          <w:sz w:val="24"/>
          <w:szCs w:val="24"/>
          <w:lang w:val="es-ES"/>
        </w:rPr>
        <w:t>” que de acuerdo con el cronograma debe culminar en diciembre de 2019, no obstante presenta retrasos.</w:t>
      </w:r>
    </w:p>
    <w:p w:rsidR="00FC2C4B" w:rsidRPr="0025215F" w:rsidRDefault="00FC2C4B" w:rsidP="0025215F">
      <w:pPr>
        <w:jc w:val="both"/>
        <w:rPr>
          <w:rFonts w:ascii="Arial" w:hAnsi="Arial" w:cs="Arial"/>
          <w:sz w:val="24"/>
          <w:szCs w:val="24"/>
          <w:lang w:val="es-ES"/>
        </w:rPr>
      </w:pPr>
      <w:r w:rsidRPr="0025215F">
        <w:rPr>
          <w:rFonts w:ascii="Arial" w:hAnsi="Arial" w:cs="Arial"/>
          <w:sz w:val="24"/>
          <w:szCs w:val="24"/>
          <w:lang w:val="es-ES"/>
        </w:rPr>
        <w:t>Se recomienda estructurar acciones encaminadas en función de la fase productiva para todas las modalidades de contratación.</w:t>
      </w:r>
    </w:p>
    <w:p w:rsidR="00D76DF3" w:rsidRPr="0025215F" w:rsidRDefault="00D76DF3" w:rsidP="0025215F">
      <w:pPr>
        <w:jc w:val="both"/>
        <w:rPr>
          <w:rFonts w:ascii="Arial" w:hAnsi="Arial" w:cs="Arial"/>
          <w:sz w:val="24"/>
          <w:szCs w:val="24"/>
          <w:lang w:val="es-ES"/>
        </w:rPr>
      </w:pPr>
    </w:p>
    <w:p w:rsidR="00BC4001" w:rsidRPr="00BC4001" w:rsidRDefault="0072305B" w:rsidP="000D3822">
      <w:pPr>
        <w:jc w:val="both"/>
        <w:rPr>
          <w:rFonts w:ascii="Calibri" w:hAnsi="Calibri" w:cs="Calibri"/>
          <w:b/>
          <w:sz w:val="28"/>
          <w:szCs w:val="28"/>
        </w:rPr>
      </w:pPr>
      <w:r>
        <w:rPr>
          <w:rFonts w:ascii="Calibri" w:hAnsi="Calibri" w:cs="Calibri"/>
          <w:b/>
          <w:sz w:val="28"/>
          <w:szCs w:val="28"/>
        </w:rPr>
        <w:t>5.</w:t>
      </w:r>
      <w:r w:rsidR="007010B1" w:rsidRPr="00BC4001">
        <w:rPr>
          <w:rFonts w:ascii="Calibri" w:hAnsi="Calibri" w:cs="Calibri"/>
          <w:b/>
          <w:sz w:val="28"/>
          <w:szCs w:val="28"/>
        </w:rPr>
        <w:t>3</w:t>
      </w:r>
      <w:r w:rsidR="000D3822" w:rsidRPr="00BC4001">
        <w:rPr>
          <w:rFonts w:ascii="Calibri" w:hAnsi="Calibri" w:cs="Calibri"/>
          <w:b/>
          <w:sz w:val="28"/>
          <w:szCs w:val="28"/>
        </w:rPr>
        <w:t xml:space="preserve">-Informe general de Auditoría Interna </w:t>
      </w:r>
      <w:r w:rsidR="00BC4001" w:rsidRPr="00BC4001">
        <w:rPr>
          <w:rFonts w:ascii="Calibri" w:hAnsi="Calibri" w:cs="Calibri"/>
          <w:b/>
          <w:sz w:val="28"/>
          <w:szCs w:val="28"/>
        </w:rPr>
        <w:t xml:space="preserve">Plan </w:t>
      </w:r>
      <w:r w:rsidR="000D3822" w:rsidRPr="00BC4001">
        <w:rPr>
          <w:rFonts w:ascii="Calibri" w:hAnsi="Calibri" w:cs="Calibri"/>
          <w:b/>
          <w:sz w:val="28"/>
          <w:szCs w:val="28"/>
        </w:rPr>
        <w:t xml:space="preserve">de Continuidad del </w:t>
      </w:r>
      <w:r w:rsidR="00BC4001" w:rsidRPr="00BC4001">
        <w:rPr>
          <w:rFonts w:ascii="Calibri" w:hAnsi="Calibri" w:cs="Calibri"/>
          <w:b/>
          <w:sz w:val="28"/>
          <w:szCs w:val="28"/>
        </w:rPr>
        <w:t xml:space="preserve">Negocio </w:t>
      </w:r>
      <w:r w:rsidR="000D3822" w:rsidRPr="00BC4001">
        <w:rPr>
          <w:rFonts w:ascii="Calibri" w:hAnsi="Calibri" w:cs="Calibri"/>
          <w:b/>
          <w:sz w:val="28"/>
          <w:szCs w:val="28"/>
        </w:rPr>
        <w:t>– BCP:</w:t>
      </w:r>
    </w:p>
    <w:p w:rsidR="000D3822" w:rsidRPr="00BC4001" w:rsidRDefault="000D3822" w:rsidP="000D3822">
      <w:pPr>
        <w:jc w:val="both"/>
        <w:rPr>
          <w:rFonts w:ascii="Arial" w:hAnsi="Arial" w:cs="Arial"/>
          <w:sz w:val="24"/>
          <w:szCs w:val="24"/>
          <w:lang w:val="es-ES"/>
        </w:rPr>
      </w:pPr>
      <w:r w:rsidRPr="00BC4001">
        <w:rPr>
          <w:rFonts w:ascii="Arial" w:hAnsi="Arial" w:cs="Arial"/>
          <w:sz w:val="24"/>
          <w:szCs w:val="24"/>
          <w:lang w:val="es-ES"/>
        </w:rPr>
        <w:t>Como resultado de las actividades que permitieron el conocimiento del negocio de la EAAB</w:t>
      </w:r>
      <w:r w:rsidR="00BC4001">
        <w:rPr>
          <w:rFonts w:ascii="Arial" w:hAnsi="Arial" w:cs="Arial"/>
          <w:sz w:val="24"/>
          <w:szCs w:val="24"/>
          <w:lang w:val="es-ES"/>
        </w:rPr>
        <w:t>-ESP</w:t>
      </w:r>
      <w:r w:rsidRPr="00BC4001">
        <w:rPr>
          <w:rFonts w:ascii="Arial" w:hAnsi="Arial" w:cs="Arial"/>
          <w:sz w:val="24"/>
          <w:szCs w:val="24"/>
          <w:lang w:val="es-ES"/>
        </w:rPr>
        <w:t>, normativa aplicada y entrevistas realizadas a personal clave de la Gerencia de TI, se concluye que, aunque la Gerencia de TI, en los años 2015-2016 adelantó actividades relacionadas con el BIA, como diseñar y remitir a las Gerencias una encuesta y realizar mesas de trabajo que aportaran para el desarrollo del análisis de impacto de negocio, este trabajo llego solamente al 70% de las encuestas. No obstante, con la información recolectada no se realizó algún tipo de análisis que conllevará a la identificación de los procesos críticos de negocio y la priorización de los mismos, siguiendo el criterio de cuanto mayor sea el impacto, mayor será la prioridad. Para este ejercicio del BIA se requiere que un área estratégica de la E</w:t>
      </w:r>
      <w:r w:rsidR="00BC4001">
        <w:rPr>
          <w:rFonts w:ascii="Arial" w:hAnsi="Arial" w:cs="Arial"/>
          <w:sz w:val="24"/>
          <w:szCs w:val="24"/>
          <w:lang w:val="es-ES"/>
        </w:rPr>
        <w:t>mpresa</w:t>
      </w:r>
      <w:r w:rsidRPr="00BC4001">
        <w:rPr>
          <w:rFonts w:ascii="Arial" w:hAnsi="Arial" w:cs="Arial"/>
          <w:sz w:val="24"/>
          <w:szCs w:val="24"/>
          <w:lang w:val="es-ES"/>
        </w:rPr>
        <w:t xml:space="preserve"> con el nivel de autoridad y enfoque estratégico defina las directrices para llevar a cabo este análisis y establecer los procesos críticos para la E</w:t>
      </w:r>
      <w:r w:rsidR="00BC4001">
        <w:rPr>
          <w:rFonts w:ascii="Arial" w:hAnsi="Arial" w:cs="Arial"/>
          <w:sz w:val="24"/>
          <w:szCs w:val="24"/>
          <w:lang w:val="es-ES"/>
        </w:rPr>
        <w:t>mpresa</w:t>
      </w:r>
      <w:r w:rsidRPr="00BC4001">
        <w:rPr>
          <w:rFonts w:ascii="Arial" w:hAnsi="Arial" w:cs="Arial"/>
          <w:sz w:val="24"/>
          <w:szCs w:val="24"/>
          <w:lang w:val="es-ES"/>
        </w:rPr>
        <w:t xml:space="preserve"> y que sobre este se fundamente el desarrollo del Plan de Continuidad del Negocio. La Oficina de Control Interno y Gestión como resultado de la evaluación realizada recomienda a la Alta Gerencia evaluar la posibilidad de conformar un área estratégica encargada de definir y dar las directrices sobre el Gobierno de los procesos transversales de la organización como son la Gestión de Riesgos, Seguridad de la información y Cumplimiento de la normatividad vigente, por cuanto en este momento estos temas estratégicos se están gestionando a nivel de las áreas, viéndose afectado los objetivos, alcance y liderazgo estratégico de estos procesos transversales; así mismo, la estructura funcional actual no ofrece la independencia y responsabilidad para establecer políticas, procedimientos y verificar su cumplimiento a nivel de la organización, debido a la dependencia funcional de las áreas que los gestionan.</w:t>
      </w:r>
    </w:p>
    <w:p w:rsidR="00B91D44" w:rsidRPr="00BC4001" w:rsidRDefault="00B91D44" w:rsidP="00B91D44">
      <w:pPr>
        <w:jc w:val="both"/>
        <w:rPr>
          <w:rFonts w:ascii="Arial" w:hAnsi="Arial" w:cs="Arial"/>
          <w:sz w:val="24"/>
          <w:szCs w:val="24"/>
          <w:lang w:val="es-ES"/>
        </w:rPr>
      </w:pPr>
      <w:r w:rsidRPr="00BC4001">
        <w:rPr>
          <w:rFonts w:ascii="Arial" w:hAnsi="Arial" w:cs="Arial"/>
          <w:sz w:val="24"/>
          <w:szCs w:val="24"/>
          <w:lang w:val="es-ES"/>
        </w:rPr>
        <w:t>La identificación de las áreas responsables y corresponsables en el acápite de las observaciones y acciones para la mejora, se pres</w:t>
      </w:r>
      <w:r w:rsidR="00FC2D03">
        <w:rPr>
          <w:rFonts w:ascii="Arial" w:hAnsi="Arial" w:cs="Arial"/>
          <w:sz w:val="24"/>
          <w:szCs w:val="24"/>
          <w:lang w:val="es-ES"/>
        </w:rPr>
        <w:t xml:space="preserve">en </w:t>
      </w:r>
      <w:r w:rsidRPr="00BC4001">
        <w:rPr>
          <w:rFonts w:ascii="Arial" w:hAnsi="Arial" w:cs="Arial"/>
          <w:sz w:val="24"/>
          <w:szCs w:val="24"/>
          <w:lang w:val="es-ES"/>
        </w:rPr>
        <w:t xml:space="preserve">tan para que los Planes de </w:t>
      </w:r>
      <w:r w:rsidR="00BC4001" w:rsidRPr="00BC4001">
        <w:rPr>
          <w:rFonts w:ascii="Arial" w:hAnsi="Arial" w:cs="Arial"/>
          <w:sz w:val="24"/>
          <w:szCs w:val="24"/>
          <w:lang w:val="es-ES"/>
        </w:rPr>
        <w:t xml:space="preserve">Mejoramiento </w:t>
      </w:r>
      <w:r w:rsidRPr="00BC4001">
        <w:rPr>
          <w:rFonts w:ascii="Arial" w:hAnsi="Arial" w:cs="Arial"/>
          <w:sz w:val="24"/>
          <w:szCs w:val="24"/>
          <w:lang w:val="es-ES"/>
        </w:rPr>
        <w:t xml:space="preserve">se formulen baja la funcionalidad vigente y por los actores identificados en la estructura normativa y organizacional; no obstante, insistimos en lo dicho anteriormente, la importancia del tema y aseguramiento de la misionalidad de la </w:t>
      </w:r>
      <w:r w:rsidR="00BC4001" w:rsidRPr="00BC4001">
        <w:rPr>
          <w:rFonts w:ascii="Arial" w:hAnsi="Arial" w:cs="Arial"/>
          <w:sz w:val="24"/>
          <w:szCs w:val="24"/>
          <w:lang w:val="es-ES"/>
        </w:rPr>
        <w:t xml:space="preserve">Empresa </w:t>
      </w:r>
      <w:r w:rsidRPr="00BC4001">
        <w:rPr>
          <w:rFonts w:ascii="Arial" w:hAnsi="Arial" w:cs="Arial"/>
          <w:sz w:val="24"/>
          <w:szCs w:val="24"/>
          <w:lang w:val="es-ES"/>
        </w:rPr>
        <w:t>ante una situación de interrupción de los procesos críticos debe ser de manejo prioritario, estratégico, de primer nivel de mando y con independencia</w:t>
      </w:r>
      <w:r w:rsidR="00BC4001">
        <w:rPr>
          <w:rFonts w:ascii="Arial" w:hAnsi="Arial" w:cs="Arial"/>
          <w:sz w:val="24"/>
          <w:szCs w:val="24"/>
          <w:lang w:val="es-ES"/>
        </w:rPr>
        <w:t>.</w:t>
      </w:r>
    </w:p>
    <w:p w:rsidR="00BC4001" w:rsidRPr="002F7F40" w:rsidRDefault="0072305B" w:rsidP="00BC4001">
      <w:pPr>
        <w:spacing w:after="120" w:line="240" w:lineRule="auto"/>
        <w:jc w:val="both"/>
        <w:rPr>
          <w:rFonts w:ascii="Calibri" w:eastAsia="Times New Roman" w:hAnsi="Calibri" w:cs="Calibri"/>
          <w:b/>
          <w:sz w:val="28"/>
          <w:szCs w:val="28"/>
          <w:lang w:val="es-ES_tradnl" w:eastAsia="es-ES"/>
        </w:rPr>
      </w:pPr>
      <w:r>
        <w:rPr>
          <w:rFonts w:ascii="Calibri" w:hAnsi="Calibri" w:cs="Calibri"/>
          <w:b/>
          <w:sz w:val="28"/>
          <w:szCs w:val="28"/>
        </w:rPr>
        <w:t>5.</w:t>
      </w:r>
      <w:r w:rsidR="007010B1" w:rsidRPr="002F7F40">
        <w:rPr>
          <w:rFonts w:ascii="Calibri" w:eastAsia="Times New Roman" w:hAnsi="Calibri" w:cs="Calibri"/>
          <w:b/>
          <w:sz w:val="28"/>
          <w:szCs w:val="28"/>
          <w:lang w:val="es-ES_tradnl" w:eastAsia="es-ES"/>
        </w:rPr>
        <w:t>4</w:t>
      </w:r>
      <w:r w:rsidR="00946A4E" w:rsidRPr="002F7F40">
        <w:rPr>
          <w:rFonts w:ascii="Calibri" w:eastAsia="Times New Roman" w:hAnsi="Calibri" w:cs="Calibri"/>
          <w:b/>
          <w:sz w:val="28"/>
          <w:szCs w:val="28"/>
          <w:lang w:val="es-ES_tradnl" w:eastAsia="es-ES"/>
        </w:rPr>
        <w:t>-</w:t>
      </w:r>
      <w:r w:rsidR="00B91D44" w:rsidRPr="002F7F40">
        <w:rPr>
          <w:rFonts w:ascii="Calibri" w:eastAsia="Times New Roman" w:hAnsi="Calibri" w:cs="Calibri"/>
          <w:b/>
          <w:sz w:val="28"/>
          <w:szCs w:val="28"/>
          <w:lang w:val="es-ES_tradnl" w:eastAsia="es-ES"/>
        </w:rPr>
        <w:t xml:space="preserve">Informe de Auditoría Interna sobre el Plan de recuperación ante desastres </w:t>
      </w:r>
      <w:r w:rsidR="00A115E4" w:rsidRPr="002F7F40">
        <w:rPr>
          <w:rFonts w:ascii="Calibri" w:eastAsia="Times New Roman" w:hAnsi="Calibri" w:cs="Calibri"/>
          <w:b/>
          <w:sz w:val="28"/>
          <w:szCs w:val="28"/>
          <w:lang w:val="es-ES_tradnl" w:eastAsia="es-ES"/>
        </w:rPr>
        <w:t>–</w:t>
      </w:r>
      <w:r w:rsidR="00B91D44" w:rsidRPr="002F7F40">
        <w:rPr>
          <w:rFonts w:ascii="Calibri" w:eastAsia="Times New Roman" w:hAnsi="Calibri" w:cs="Calibri"/>
          <w:b/>
          <w:sz w:val="28"/>
          <w:szCs w:val="28"/>
          <w:lang w:val="es-ES_tradnl" w:eastAsia="es-ES"/>
        </w:rPr>
        <w:t xml:space="preserve"> DRP</w:t>
      </w:r>
      <w:r w:rsidR="00BC4001" w:rsidRPr="002F7F40">
        <w:rPr>
          <w:rFonts w:ascii="Calibri" w:eastAsia="Times New Roman" w:hAnsi="Calibri" w:cs="Calibri"/>
          <w:b/>
          <w:sz w:val="28"/>
          <w:szCs w:val="28"/>
          <w:lang w:val="es-ES_tradnl" w:eastAsia="es-ES"/>
        </w:rPr>
        <w:t>:</w:t>
      </w:r>
    </w:p>
    <w:p w:rsidR="00A115E4" w:rsidRPr="002F7F40" w:rsidRDefault="00A115E4" w:rsidP="002F7F40">
      <w:pPr>
        <w:jc w:val="both"/>
        <w:rPr>
          <w:rFonts w:ascii="Arial" w:hAnsi="Arial" w:cs="Arial"/>
          <w:sz w:val="24"/>
          <w:szCs w:val="24"/>
          <w:lang w:val="es-ES"/>
        </w:rPr>
      </w:pPr>
      <w:r w:rsidRPr="002F7F40">
        <w:rPr>
          <w:rFonts w:ascii="Arial" w:hAnsi="Arial" w:cs="Arial"/>
          <w:sz w:val="24"/>
          <w:szCs w:val="24"/>
          <w:lang w:val="es-ES"/>
        </w:rPr>
        <w:t>Como resultado del conocimiento del negocio de la EAAB</w:t>
      </w:r>
      <w:r w:rsidR="002F7F40">
        <w:rPr>
          <w:rFonts w:ascii="Arial" w:hAnsi="Arial" w:cs="Arial"/>
          <w:sz w:val="24"/>
          <w:szCs w:val="24"/>
          <w:lang w:val="es-ES"/>
        </w:rPr>
        <w:t>-ESP</w:t>
      </w:r>
      <w:r w:rsidRPr="002F7F40">
        <w:rPr>
          <w:rFonts w:ascii="Arial" w:hAnsi="Arial" w:cs="Arial"/>
          <w:sz w:val="24"/>
          <w:szCs w:val="24"/>
          <w:lang w:val="es-ES"/>
        </w:rPr>
        <w:t>, normativa aplicada y las entrevistas realizadas a personal clave de la Gerencia de TI sobre el DRP, se concluye que, aunque la Gerencia de TI, viene adelantando proyectos tendientes a tener un centro de cómputo alterno que les permitirá atender situaciones de contingencias de la infraestructura tecnológica, aun no se cuenta con un Plan de Recuperación ante Desastre - DRP que garantice la continuidad de los servicios tecnológicos que soportan los procesos críticos de la E</w:t>
      </w:r>
      <w:r w:rsidR="002F7F40">
        <w:rPr>
          <w:rFonts w:ascii="Arial" w:hAnsi="Arial" w:cs="Arial"/>
          <w:sz w:val="24"/>
          <w:szCs w:val="24"/>
          <w:lang w:val="es-ES"/>
        </w:rPr>
        <w:t>mpresa</w:t>
      </w:r>
      <w:r w:rsidRPr="002F7F40">
        <w:rPr>
          <w:rFonts w:ascii="Arial" w:hAnsi="Arial" w:cs="Arial"/>
          <w:sz w:val="24"/>
          <w:szCs w:val="24"/>
          <w:lang w:val="es-ES"/>
        </w:rPr>
        <w:t>. Así mismo, no se identificó apoyo de la Alta Gerencia para la implementación del DRP situación que fue también identificada en el análisis del contexto registrada en la matriz DOFA del Plan General Estratégico y sobre las cuales no se identificó acciones tendientes a cambiar esta debilidad en fortaleza.</w:t>
      </w:r>
    </w:p>
    <w:p w:rsidR="00A115E4" w:rsidRPr="00191FD5" w:rsidRDefault="00A115E4" w:rsidP="002F7F40">
      <w:pPr>
        <w:pStyle w:val="Prrafodelista"/>
        <w:numPr>
          <w:ilvl w:val="0"/>
          <w:numId w:val="2"/>
        </w:numPr>
        <w:spacing w:after="120" w:line="240" w:lineRule="auto"/>
        <w:ind w:left="425" w:hanging="425"/>
        <w:contextualSpacing w:val="0"/>
        <w:jc w:val="both"/>
        <w:rPr>
          <w:rFonts w:ascii="Arial" w:hAnsi="Arial" w:cs="Arial"/>
          <w:lang w:eastAsia="es-CO"/>
        </w:rPr>
      </w:pPr>
      <w:r w:rsidRPr="00191FD5">
        <w:rPr>
          <w:rFonts w:ascii="Arial" w:hAnsi="Arial" w:cs="Arial"/>
          <w:lang w:eastAsia="es-CO"/>
        </w:rPr>
        <w:t>La Gerencia de TI está implementando un Centro de Cómputo Alterno – CCA, que le permitirá soportar la operación en caso de fallas o incidentes en la infraestructura tecnológica.</w:t>
      </w:r>
    </w:p>
    <w:p w:rsidR="00A115E4" w:rsidRPr="00191FD5" w:rsidRDefault="00A115E4" w:rsidP="002F7F40">
      <w:pPr>
        <w:pStyle w:val="Prrafodelista"/>
        <w:numPr>
          <w:ilvl w:val="0"/>
          <w:numId w:val="2"/>
        </w:numPr>
        <w:spacing w:after="120" w:line="240" w:lineRule="auto"/>
        <w:ind w:left="425" w:hanging="425"/>
        <w:contextualSpacing w:val="0"/>
        <w:jc w:val="both"/>
        <w:rPr>
          <w:rFonts w:ascii="Arial" w:hAnsi="Arial" w:cs="Arial"/>
          <w:lang w:eastAsia="es-CO"/>
        </w:rPr>
      </w:pPr>
      <w:r w:rsidRPr="00191FD5">
        <w:rPr>
          <w:rFonts w:ascii="Arial" w:hAnsi="Arial" w:cs="Arial"/>
          <w:lang w:eastAsia="es-CO"/>
        </w:rPr>
        <w:t>La Gerencia de TI es consciente de la necesidad de contar con un DRP, que le permita recuperar la operación en caso ocurrencia de eventos catastróficos que comprometan la infraestructura tecnológica.</w:t>
      </w:r>
    </w:p>
    <w:p w:rsidR="00A115E4" w:rsidRPr="00191FD5" w:rsidRDefault="00A115E4" w:rsidP="002F7F40">
      <w:pPr>
        <w:pStyle w:val="Prrafodelista"/>
        <w:numPr>
          <w:ilvl w:val="0"/>
          <w:numId w:val="2"/>
        </w:numPr>
        <w:spacing w:after="120" w:line="240" w:lineRule="auto"/>
        <w:ind w:left="425" w:hanging="425"/>
        <w:contextualSpacing w:val="0"/>
        <w:jc w:val="both"/>
        <w:rPr>
          <w:rFonts w:ascii="Arial" w:hAnsi="Arial" w:cs="Arial"/>
          <w:lang w:eastAsia="es-CO"/>
        </w:rPr>
      </w:pPr>
      <w:r w:rsidRPr="00191FD5">
        <w:rPr>
          <w:rFonts w:ascii="Arial" w:hAnsi="Arial" w:cs="Arial"/>
          <w:lang w:eastAsia="es-CO"/>
        </w:rPr>
        <w:t>La Gerencia de TI es consciente que al tener el Centro de Cómputo Alterno – CCA, está preparándose para tener el sitio en donde podrá respaldar la estrategia de recuperación de los procesos críticos de negocio en el evento que se requiera y podrá probar todos los escenarios de riesgos identificados para asegurar la continuidad de la operación.</w:t>
      </w:r>
    </w:p>
    <w:p w:rsidR="00A115E4" w:rsidRDefault="00A115E4" w:rsidP="002F7F40">
      <w:pPr>
        <w:pStyle w:val="Prrafodelista"/>
        <w:numPr>
          <w:ilvl w:val="0"/>
          <w:numId w:val="2"/>
        </w:numPr>
        <w:spacing w:after="120" w:line="240" w:lineRule="auto"/>
        <w:ind w:left="425" w:hanging="425"/>
        <w:contextualSpacing w:val="0"/>
        <w:jc w:val="both"/>
        <w:rPr>
          <w:rFonts w:ascii="Arial" w:hAnsi="Arial" w:cs="Arial"/>
          <w:lang w:eastAsia="es-CO"/>
        </w:rPr>
      </w:pPr>
      <w:r w:rsidRPr="00191FD5">
        <w:rPr>
          <w:rFonts w:ascii="Arial" w:hAnsi="Arial" w:cs="Arial"/>
          <w:lang w:eastAsia="es-CO"/>
        </w:rPr>
        <w:t xml:space="preserve">La Gerencia de TI elaboró el Plan Maestro de Tecnología – PMT en el que se postula el proyecto de “Fortalecimiento de las capacidades de gestión de tecnología” y en donde uno de los objetivos es la “Definición e implementación del Plan de Recuperación de Desastres.” Este PMT está pendiente de aprobación por parte del Comité Corporativo. </w:t>
      </w:r>
    </w:p>
    <w:p w:rsidR="00A115E4" w:rsidRPr="00191FD5" w:rsidRDefault="00A115E4" w:rsidP="00A115E4">
      <w:pPr>
        <w:pStyle w:val="Prrafodelista"/>
        <w:spacing w:after="0" w:line="240" w:lineRule="auto"/>
        <w:ind w:left="709"/>
        <w:jc w:val="both"/>
        <w:rPr>
          <w:rFonts w:ascii="Arial" w:hAnsi="Arial" w:cs="Arial"/>
          <w:lang w:eastAsia="es-CO"/>
        </w:rPr>
      </w:pPr>
    </w:p>
    <w:p w:rsidR="002F7F40" w:rsidRPr="002F7F40" w:rsidRDefault="0072305B" w:rsidP="002F032A">
      <w:pPr>
        <w:jc w:val="both"/>
        <w:rPr>
          <w:rFonts w:ascii="Calibri" w:hAnsi="Calibri" w:cs="Calibri"/>
          <w:b/>
          <w:sz w:val="28"/>
          <w:szCs w:val="28"/>
        </w:rPr>
      </w:pPr>
      <w:r>
        <w:rPr>
          <w:rFonts w:ascii="Calibri" w:hAnsi="Calibri" w:cs="Calibri"/>
          <w:b/>
          <w:sz w:val="28"/>
          <w:szCs w:val="28"/>
        </w:rPr>
        <w:t>5.</w:t>
      </w:r>
      <w:r w:rsidR="007010B1" w:rsidRPr="002F7F40">
        <w:rPr>
          <w:rFonts w:ascii="Calibri" w:hAnsi="Calibri" w:cs="Calibri"/>
          <w:b/>
          <w:sz w:val="28"/>
          <w:szCs w:val="28"/>
        </w:rPr>
        <w:t>5</w:t>
      </w:r>
      <w:r w:rsidR="002F032A" w:rsidRPr="002F7F40">
        <w:rPr>
          <w:rFonts w:ascii="Calibri" w:hAnsi="Calibri" w:cs="Calibri"/>
          <w:b/>
          <w:sz w:val="28"/>
          <w:szCs w:val="28"/>
        </w:rPr>
        <w:t>-Informe de Auditoría Interna Gobierno TI</w:t>
      </w:r>
      <w:r w:rsidR="002F7F40" w:rsidRPr="002F7F40">
        <w:rPr>
          <w:rFonts w:ascii="Calibri" w:hAnsi="Calibri" w:cs="Calibri"/>
          <w:b/>
          <w:sz w:val="28"/>
          <w:szCs w:val="28"/>
        </w:rPr>
        <w:t>:</w:t>
      </w:r>
    </w:p>
    <w:p w:rsidR="002F032A" w:rsidRPr="002F7F40" w:rsidRDefault="002F032A" w:rsidP="002F032A">
      <w:pPr>
        <w:jc w:val="both"/>
        <w:rPr>
          <w:rFonts w:ascii="Arial" w:hAnsi="Arial" w:cs="Arial"/>
          <w:sz w:val="24"/>
          <w:szCs w:val="24"/>
          <w:lang w:val="es-ES"/>
        </w:rPr>
      </w:pPr>
      <w:r w:rsidRPr="002F7F40">
        <w:rPr>
          <w:rFonts w:ascii="Arial" w:hAnsi="Arial" w:cs="Arial"/>
          <w:sz w:val="24"/>
          <w:szCs w:val="24"/>
          <w:lang w:val="es-ES"/>
        </w:rPr>
        <w:t>Como resultado del conocimiento del negocio de la EAAB</w:t>
      </w:r>
      <w:r w:rsidR="002F7F40">
        <w:rPr>
          <w:rFonts w:ascii="Arial" w:hAnsi="Arial" w:cs="Arial"/>
          <w:sz w:val="24"/>
          <w:szCs w:val="24"/>
          <w:lang w:val="es-ES"/>
        </w:rPr>
        <w:t>-ESP</w:t>
      </w:r>
      <w:r w:rsidRPr="002F7F40">
        <w:rPr>
          <w:rFonts w:ascii="Arial" w:hAnsi="Arial" w:cs="Arial"/>
          <w:sz w:val="24"/>
          <w:szCs w:val="24"/>
          <w:lang w:val="es-ES"/>
        </w:rPr>
        <w:t>, normativa aplicada, funciones y responsabilidades Gerencia de TI, análisis de los procesos, Plan Maestro de Tecnología, documentación suministrada y las entrevistas realizadas a personal clave de la Gerencia de TI sobre las cinco áreas de enfoque sobre las cuales se basó</w:t>
      </w:r>
      <w:r w:rsidR="00FC2D03">
        <w:rPr>
          <w:rFonts w:ascii="Arial" w:hAnsi="Arial" w:cs="Arial"/>
          <w:sz w:val="24"/>
          <w:szCs w:val="24"/>
          <w:lang w:val="es-ES"/>
        </w:rPr>
        <w:t xml:space="preserve"> la Auditoría de Gobierno de TI, se</w:t>
      </w:r>
      <w:r w:rsidRPr="002F7F40">
        <w:rPr>
          <w:rFonts w:ascii="Arial" w:hAnsi="Arial" w:cs="Arial"/>
          <w:sz w:val="24"/>
          <w:szCs w:val="24"/>
          <w:lang w:val="es-ES"/>
        </w:rPr>
        <w:t xml:space="preserve"> presentan las conclusiones de la evaluación:</w:t>
      </w:r>
    </w:p>
    <w:p w:rsidR="002F032A" w:rsidRPr="00CA4D51" w:rsidRDefault="002F7F40" w:rsidP="002F7F40">
      <w:pPr>
        <w:pStyle w:val="Prrafodelista"/>
        <w:numPr>
          <w:ilvl w:val="0"/>
          <w:numId w:val="15"/>
        </w:numPr>
        <w:autoSpaceDE w:val="0"/>
        <w:autoSpaceDN w:val="0"/>
        <w:adjustRightInd w:val="0"/>
        <w:spacing w:after="0" w:line="275" w:lineRule="auto"/>
        <w:ind w:left="426" w:hanging="426"/>
        <w:contextualSpacing w:val="0"/>
        <w:jc w:val="both"/>
        <w:rPr>
          <w:rFonts w:ascii="Arial" w:hAnsi="Arial" w:cs="Arial"/>
          <w:i/>
          <w:iCs/>
        </w:rPr>
      </w:pPr>
      <w:r>
        <w:rPr>
          <w:rFonts w:ascii="Arial" w:hAnsi="Arial" w:cs="Arial"/>
          <w:i/>
          <w:iCs/>
        </w:rPr>
        <w:t>Alineación Estratégica</w:t>
      </w:r>
    </w:p>
    <w:p w:rsidR="002F032A" w:rsidRPr="002F7F40" w:rsidRDefault="002F032A" w:rsidP="002F032A">
      <w:pPr>
        <w:jc w:val="both"/>
        <w:rPr>
          <w:rFonts w:ascii="Arial" w:hAnsi="Arial" w:cs="Arial"/>
          <w:sz w:val="24"/>
          <w:szCs w:val="24"/>
          <w:lang w:val="es-ES"/>
        </w:rPr>
      </w:pPr>
      <w:r w:rsidRPr="002F7F40">
        <w:rPr>
          <w:rFonts w:ascii="Arial" w:hAnsi="Arial" w:cs="Arial"/>
          <w:sz w:val="24"/>
          <w:szCs w:val="24"/>
          <w:lang w:val="es-ES"/>
        </w:rPr>
        <w:t>Se identifica que la Gerencia de TI está enfocando sus esfuerzos al cumplimiento y apoyo de los objetivos estratégicos corporativos y metas. Este es un proceso que se está desarrollando y que con la implementación del PMT y el desarrollo de los proyectos establecidos para cubrir las brechas identificadas se asegurará la mejora en la entrega de los servicios y el cubrimiento de las necesidades y expectativas del negocio.</w:t>
      </w:r>
    </w:p>
    <w:p w:rsidR="002F032A" w:rsidRPr="00CA4D51" w:rsidRDefault="002F032A" w:rsidP="002F7F40">
      <w:pPr>
        <w:pStyle w:val="Prrafodelista"/>
        <w:numPr>
          <w:ilvl w:val="0"/>
          <w:numId w:val="15"/>
        </w:numPr>
        <w:autoSpaceDE w:val="0"/>
        <w:autoSpaceDN w:val="0"/>
        <w:adjustRightInd w:val="0"/>
        <w:spacing w:after="0" w:line="275" w:lineRule="auto"/>
        <w:ind w:left="426" w:hanging="426"/>
        <w:contextualSpacing w:val="0"/>
        <w:jc w:val="both"/>
        <w:rPr>
          <w:rFonts w:ascii="Arial" w:hAnsi="Arial" w:cs="Arial"/>
          <w:i/>
          <w:iCs/>
        </w:rPr>
      </w:pPr>
      <w:r w:rsidRPr="00CA4D51">
        <w:rPr>
          <w:rFonts w:ascii="Arial" w:hAnsi="Arial" w:cs="Arial"/>
          <w:i/>
          <w:iCs/>
        </w:rPr>
        <w:t>Entrega de Valor</w:t>
      </w:r>
    </w:p>
    <w:p w:rsidR="002F032A" w:rsidRPr="002F7F40" w:rsidRDefault="002F032A" w:rsidP="002F032A">
      <w:pPr>
        <w:jc w:val="both"/>
        <w:rPr>
          <w:rFonts w:ascii="Arial" w:hAnsi="Arial" w:cs="Arial"/>
          <w:sz w:val="24"/>
          <w:szCs w:val="24"/>
          <w:lang w:val="es-ES"/>
        </w:rPr>
      </w:pPr>
      <w:r w:rsidRPr="002F7F40">
        <w:rPr>
          <w:rFonts w:ascii="Arial" w:hAnsi="Arial" w:cs="Arial"/>
          <w:sz w:val="24"/>
          <w:szCs w:val="24"/>
          <w:lang w:val="es-ES"/>
        </w:rPr>
        <w:t>La gestión y control del presupuesto e inversión soporta la administración del funcionamiento e inversiones de la Gerencia de TI, se evidencia la definición de lineamientos generales para su gestión a nivel corporativo, la elaboración del presupuesto se establece de acuerdo a los lineamientos establecidos por el Consejo Distrital de Política Económica y Fiscal – CONFIS y la EAAB, cubren las necesidades de operación, mantenimiento de la infraestructura y necesidades de inversión de áreas usuarias.</w:t>
      </w:r>
    </w:p>
    <w:p w:rsidR="002F032A" w:rsidRPr="002F7F40" w:rsidRDefault="002F032A" w:rsidP="002F032A">
      <w:pPr>
        <w:jc w:val="both"/>
        <w:rPr>
          <w:rFonts w:ascii="Arial" w:hAnsi="Arial" w:cs="Arial"/>
          <w:sz w:val="24"/>
          <w:szCs w:val="24"/>
          <w:lang w:val="es-ES"/>
        </w:rPr>
      </w:pPr>
      <w:r w:rsidRPr="002F7F40">
        <w:rPr>
          <w:rFonts w:ascii="Arial" w:hAnsi="Arial" w:cs="Arial"/>
          <w:sz w:val="24"/>
          <w:szCs w:val="24"/>
          <w:lang w:val="es-ES"/>
        </w:rPr>
        <w:t xml:space="preserve">Se sugiere que la medición de satisfacción de los clientes de servicios sea implementada como una práctica periódica que permita conocer la opinión de los clientes y el proceso evolutivo de los aspectos antes mencionados. De esta forma, la Gerencia de TI, contará con un mecanismo adicional de contacto y comunicación con los usuarios que facilitará la toma de decisiones respecto a las mejoras requeridas en la atención diaria, conocerá las debilidades y fortalezas del servicio y atención que se presta y podrá utilizarlo como herramienta para la mejora </w:t>
      </w:r>
      <w:r w:rsidR="002F7F40">
        <w:rPr>
          <w:rFonts w:ascii="Arial" w:hAnsi="Arial" w:cs="Arial"/>
          <w:sz w:val="24"/>
          <w:szCs w:val="24"/>
          <w:lang w:val="es-ES"/>
        </w:rPr>
        <w:t>continua de los procesos de TI.</w:t>
      </w:r>
    </w:p>
    <w:p w:rsidR="002F032A" w:rsidRPr="00CA4D51" w:rsidRDefault="002F032A" w:rsidP="002F7F40">
      <w:pPr>
        <w:pStyle w:val="Prrafodelista"/>
        <w:numPr>
          <w:ilvl w:val="0"/>
          <w:numId w:val="15"/>
        </w:numPr>
        <w:autoSpaceDE w:val="0"/>
        <w:autoSpaceDN w:val="0"/>
        <w:adjustRightInd w:val="0"/>
        <w:spacing w:after="0" w:line="275" w:lineRule="auto"/>
        <w:ind w:left="426" w:hanging="426"/>
        <w:contextualSpacing w:val="0"/>
        <w:jc w:val="both"/>
        <w:rPr>
          <w:rFonts w:ascii="Arial" w:hAnsi="Arial" w:cs="Arial"/>
          <w:i/>
          <w:iCs/>
        </w:rPr>
      </w:pPr>
      <w:r w:rsidRPr="00CA4D51">
        <w:rPr>
          <w:rFonts w:ascii="Arial" w:hAnsi="Arial" w:cs="Arial"/>
          <w:i/>
          <w:iCs/>
        </w:rPr>
        <w:t>Administración de Riesgos</w:t>
      </w:r>
    </w:p>
    <w:p w:rsidR="00FC2D03" w:rsidRDefault="002F032A" w:rsidP="00FC2D03">
      <w:pPr>
        <w:jc w:val="both"/>
        <w:rPr>
          <w:rFonts w:ascii="Arial" w:hAnsi="Arial" w:cs="Arial"/>
          <w:sz w:val="24"/>
          <w:szCs w:val="24"/>
          <w:lang w:val="es-ES"/>
        </w:rPr>
      </w:pPr>
      <w:r w:rsidRPr="002F7F40">
        <w:rPr>
          <w:rFonts w:ascii="Arial" w:hAnsi="Arial" w:cs="Arial"/>
          <w:sz w:val="24"/>
          <w:szCs w:val="24"/>
          <w:lang w:val="es-ES"/>
        </w:rPr>
        <w:t>Se cuenta con una política y metodología definida para la administración de riesgos y oportunidades a nivel organizacional</w:t>
      </w:r>
    </w:p>
    <w:p w:rsidR="00FC2D03" w:rsidRDefault="00FC2D03" w:rsidP="00FC2D03">
      <w:pPr>
        <w:jc w:val="both"/>
        <w:rPr>
          <w:rFonts w:ascii="Arial" w:hAnsi="Arial" w:cs="Arial"/>
          <w:sz w:val="24"/>
          <w:szCs w:val="24"/>
          <w:lang w:val="es-ES"/>
        </w:rPr>
      </w:pPr>
    </w:p>
    <w:p w:rsidR="002F032A" w:rsidRPr="00FC2D03" w:rsidRDefault="002F032A" w:rsidP="00FC2D03">
      <w:pPr>
        <w:pStyle w:val="Prrafodelista"/>
        <w:numPr>
          <w:ilvl w:val="0"/>
          <w:numId w:val="25"/>
        </w:numPr>
        <w:jc w:val="both"/>
        <w:rPr>
          <w:rFonts w:ascii="Arial" w:hAnsi="Arial" w:cs="Arial"/>
          <w:i/>
          <w:iCs/>
        </w:rPr>
      </w:pPr>
      <w:r w:rsidRPr="00FC2D03">
        <w:rPr>
          <w:rFonts w:ascii="Arial" w:hAnsi="Arial" w:cs="Arial"/>
          <w:i/>
          <w:iCs/>
        </w:rPr>
        <w:t>Medición de Desempeño</w:t>
      </w:r>
    </w:p>
    <w:p w:rsidR="002F032A" w:rsidRPr="002F7F40" w:rsidRDefault="002F032A" w:rsidP="002F032A">
      <w:pPr>
        <w:jc w:val="both"/>
        <w:rPr>
          <w:rFonts w:ascii="Arial" w:hAnsi="Arial" w:cs="Arial"/>
          <w:sz w:val="24"/>
          <w:szCs w:val="24"/>
          <w:lang w:val="es-ES"/>
        </w:rPr>
      </w:pPr>
      <w:r w:rsidRPr="002F7F40">
        <w:rPr>
          <w:rFonts w:ascii="Arial" w:hAnsi="Arial" w:cs="Arial"/>
          <w:sz w:val="24"/>
          <w:szCs w:val="24"/>
          <w:lang w:val="es-ES"/>
        </w:rPr>
        <w:t>Se tienen establecidas actividades relacionadas con el monitoreo y seguimiento a los indicadores definidos para los objetivos estratégicos de la E</w:t>
      </w:r>
      <w:r w:rsidR="00E2155D">
        <w:rPr>
          <w:rFonts w:ascii="Arial" w:hAnsi="Arial" w:cs="Arial"/>
          <w:sz w:val="24"/>
          <w:szCs w:val="24"/>
          <w:lang w:val="es-ES"/>
        </w:rPr>
        <w:t>mpresa. E</w:t>
      </w:r>
      <w:r w:rsidRPr="002F7F40">
        <w:rPr>
          <w:rFonts w:ascii="Arial" w:hAnsi="Arial" w:cs="Arial"/>
          <w:sz w:val="24"/>
          <w:szCs w:val="24"/>
          <w:lang w:val="es-ES"/>
        </w:rPr>
        <w:t>n este momento el indicador “Liderazgo” de responsabilidad de la Gerencia de TI no presenta avances registrados en la plataforma APA, debido a que la fecha definida para la implementación del PET está programada para diciembre de 2019.</w:t>
      </w:r>
    </w:p>
    <w:p w:rsidR="002F032A" w:rsidRPr="00CA4D51" w:rsidRDefault="002F032A" w:rsidP="00E2155D">
      <w:pPr>
        <w:pStyle w:val="Prrafodelista"/>
        <w:numPr>
          <w:ilvl w:val="0"/>
          <w:numId w:val="15"/>
        </w:numPr>
        <w:autoSpaceDE w:val="0"/>
        <w:autoSpaceDN w:val="0"/>
        <w:adjustRightInd w:val="0"/>
        <w:spacing w:after="0" w:line="275" w:lineRule="auto"/>
        <w:ind w:left="426" w:hanging="426"/>
        <w:contextualSpacing w:val="0"/>
        <w:jc w:val="both"/>
        <w:rPr>
          <w:rFonts w:ascii="Arial" w:hAnsi="Arial" w:cs="Arial"/>
          <w:i/>
          <w:iCs/>
        </w:rPr>
      </w:pPr>
      <w:r w:rsidRPr="00CA4D51">
        <w:rPr>
          <w:rFonts w:ascii="Arial" w:hAnsi="Arial" w:cs="Arial"/>
          <w:i/>
          <w:iCs/>
        </w:rPr>
        <w:t>Administración de Recursos</w:t>
      </w:r>
    </w:p>
    <w:p w:rsidR="002F032A" w:rsidRPr="00E2155D" w:rsidRDefault="002F032A" w:rsidP="002F032A">
      <w:pPr>
        <w:jc w:val="both"/>
        <w:rPr>
          <w:rFonts w:ascii="Arial" w:hAnsi="Arial" w:cs="Arial"/>
          <w:sz w:val="24"/>
          <w:szCs w:val="24"/>
          <w:lang w:val="es-ES"/>
        </w:rPr>
      </w:pPr>
      <w:r w:rsidRPr="00E2155D">
        <w:rPr>
          <w:rFonts w:ascii="Arial" w:hAnsi="Arial" w:cs="Arial"/>
          <w:sz w:val="24"/>
          <w:szCs w:val="24"/>
          <w:lang w:val="es-ES"/>
        </w:rPr>
        <w:t>Gestión de Activos y Configuración: Para este proceso se cuenta con personal experto y una solución tecnológica donde se gestiona la Base de Datos “CMDB” (</w:t>
      </w:r>
      <w:proofErr w:type="spellStart"/>
      <w:r w:rsidRPr="00E2155D">
        <w:rPr>
          <w:rFonts w:ascii="Arial" w:hAnsi="Arial" w:cs="Arial"/>
          <w:sz w:val="24"/>
          <w:szCs w:val="24"/>
          <w:lang w:val="es-ES"/>
        </w:rPr>
        <w:t>Configuration</w:t>
      </w:r>
      <w:proofErr w:type="spellEnd"/>
      <w:r w:rsidRPr="00E2155D">
        <w:rPr>
          <w:rFonts w:ascii="Arial" w:hAnsi="Arial" w:cs="Arial"/>
          <w:sz w:val="24"/>
          <w:szCs w:val="24"/>
          <w:lang w:val="es-ES"/>
        </w:rPr>
        <w:t xml:space="preserve"> Management Data Base) de los ítems de configuración (CI), lo que permite modelar los servicios de TI</w:t>
      </w:r>
      <w:r w:rsidR="00FC2D03">
        <w:rPr>
          <w:rFonts w:ascii="Arial" w:hAnsi="Arial" w:cs="Arial"/>
          <w:sz w:val="24"/>
          <w:szCs w:val="24"/>
          <w:lang w:val="es-ES"/>
        </w:rPr>
        <w:t>; e</w:t>
      </w:r>
      <w:r w:rsidRPr="00E2155D">
        <w:rPr>
          <w:rFonts w:ascii="Arial" w:hAnsi="Arial" w:cs="Arial"/>
          <w:sz w:val="24"/>
          <w:szCs w:val="24"/>
          <w:lang w:val="es-ES"/>
        </w:rPr>
        <w:t>ste es un proceso clave para monitorear los servicios e infraestructura de TI. Cualquier cambio a un CI, debe surtir el proceso de Gestión de Cambios y ser aprobado en Comité de Cambios por el impacto que este puede tener en la prestación del servicio.</w:t>
      </w:r>
    </w:p>
    <w:p w:rsidR="002F032A" w:rsidRPr="00E2155D" w:rsidRDefault="002F032A" w:rsidP="002F032A">
      <w:pPr>
        <w:jc w:val="both"/>
        <w:rPr>
          <w:rFonts w:ascii="Arial" w:hAnsi="Arial" w:cs="Arial"/>
          <w:sz w:val="24"/>
          <w:szCs w:val="24"/>
          <w:lang w:val="es-ES"/>
        </w:rPr>
      </w:pPr>
      <w:r w:rsidRPr="00E2155D">
        <w:rPr>
          <w:rFonts w:ascii="Arial" w:hAnsi="Arial" w:cs="Arial"/>
          <w:sz w:val="24"/>
          <w:szCs w:val="24"/>
          <w:lang w:val="es-ES"/>
        </w:rPr>
        <w:t>Gestión de Capacidad: Este proceso cuenta con personal experto encargado de evaluar la suficiencia y dimensionamiento de los servicios e infraestructura de TI. Para algunas de estas actividades se apoya en los informes que genera la solución BMC-IBM sobre el comportamiento de los CI. Se cuenta con un Plan de Capacidad anual asociado a los niveles de servicio acordados.</w:t>
      </w:r>
    </w:p>
    <w:p w:rsidR="00FA5B7D" w:rsidRPr="00E2155D" w:rsidRDefault="002F032A" w:rsidP="002F032A">
      <w:pPr>
        <w:jc w:val="both"/>
        <w:rPr>
          <w:rFonts w:ascii="Arial" w:hAnsi="Arial" w:cs="Arial"/>
          <w:sz w:val="24"/>
          <w:szCs w:val="24"/>
          <w:lang w:val="es-ES"/>
        </w:rPr>
      </w:pPr>
      <w:r w:rsidRPr="00E2155D">
        <w:rPr>
          <w:rFonts w:ascii="Arial" w:hAnsi="Arial" w:cs="Arial"/>
          <w:sz w:val="24"/>
          <w:szCs w:val="24"/>
          <w:lang w:val="es-ES"/>
        </w:rPr>
        <w:t xml:space="preserve">Gestión Niveles de Servicio: Este proceso está definido por los acuerdos de niveles de servicio establecidos entre TI y los clientes internos para la prestación de los servicios. El cumplimiento de los Acuerdos de Nivel de Servicio – ANS, </w:t>
      </w:r>
      <w:r w:rsidR="00E2155D" w:rsidRPr="00E2155D">
        <w:rPr>
          <w:rFonts w:ascii="Arial" w:hAnsi="Arial" w:cs="Arial"/>
          <w:sz w:val="24"/>
          <w:szCs w:val="24"/>
          <w:lang w:val="es-ES"/>
        </w:rPr>
        <w:t>fue</w:t>
      </w:r>
      <w:r w:rsidRPr="00E2155D">
        <w:rPr>
          <w:rFonts w:ascii="Arial" w:hAnsi="Arial" w:cs="Arial"/>
          <w:sz w:val="24"/>
          <w:szCs w:val="24"/>
          <w:lang w:val="es-ES"/>
        </w:rPr>
        <w:t xml:space="preserve"> establecido a nivel contractual con SONDA y son monitoreados mensualmente y su cumplimiento está sujeto a la facturación</w:t>
      </w:r>
    </w:p>
    <w:p w:rsidR="00E2155D" w:rsidRPr="00E2155D" w:rsidRDefault="0072305B" w:rsidP="00E2155D">
      <w:pPr>
        <w:jc w:val="both"/>
        <w:rPr>
          <w:rFonts w:ascii="Calibri" w:hAnsi="Calibri" w:cs="Calibri"/>
          <w:b/>
          <w:sz w:val="28"/>
          <w:szCs w:val="28"/>
        </w:rPr>
      </w:pPr>
      <w:r>
        <w:rPr>
          <w:rFonts w:ascii="Calibri" w:hAnsi="Calibri" w:cs="Calibri"/>
          <w:b/>
          <w:sz w:val="28"/>
          <w:szCs w:val="28"/>
        </w:rPr>
        <w:t>5.</w:t>
      </w:r>
      <w:r w:rsidR="007010B1" w:rsidRPr="00E2155D">
        <w:rPr>
          <w:rFonts w:ascii="Calibri" w:hAnsi="Calibri" w:cs="Calibri"/>
          <w:b/>
          <w:sz w:val="28"/>
          <w:szCs w:val="28"/>
        </w:rPr>
        <w:t>6</w:t>
      </w:r>
      <w:r w:rsidR="00EF0372" w:rsidRPr="00E2155D">
        <w:rPr>
          <w:rFonts w:ascii="Calibri" w:hAnsi="Calibri" w:cs="Calibri"/>
          <w:b/>
          <w:sz w:val="28"/>
          <w:szCs w:val="28"/>
        </w:rPr>
        <w:t>-Informe de Auditoría Interna- Gestión Ambiental PSMV</w:t>
      </w:r>
    </w:p>
    <w:p w:rsidR="00EF0372" w:rsidRPr="00E2155D" w:rsidRDefault="00EF0372" w:rsidP="00E2155D">
      <w:pPr>
        <w:jc w:val="both"/>
        <w:rPr>
          <w:rFonts w:ascii="Arial" w:hAnsi="Arial" w:cs="Arial"/>
          <w:sz w:val="24"/>
          <w:szCs w:val="24"/>
          <w:lang w:val="es-ES"/>
        </w:rPr>
      </w:pPr>
      <w:bookmarkStart w:id="5" w:name="_Hlk24536421"/>
      <w:r w:rsidRPr="00E2155D">
        <w:rPr>
          <w:rFonts w:ascii="Arial" w:hAnsi="Arial" w:cs="Arial"/>
          <w:sz w:val="24"/>
          <w:szCs w:val="24"/>
          <w:lang w:val="es-ES"/>
        </w:rPr>
        <w:t xml:space="preserve">Las situaciones evidenciadas en el proceso auditor permiten inferir que la </w:t>
      </w:r>
      <w:r w:rsidR="00E2155D" w:rsidRPr="00E2155D">
        <w:rPr>
          <w:rFonts w:ascii="Arial" w:hAnsi="Arial" w:cs="Arial"/>
          <w:sz w:val="24"/>
          <w:szCs w:val="24"/>
          <w:lang w:val="es-ES"/>
        </w:rPr>
        <w:t xml:space="preserve">Empresa </w:t>
      </w:r>
      <w:r w:rsidRPr="00E2155D">
        <w:rPr>
          <w:rFonts w:ascii="Arial" w:hAnsi="Arial" w:cs="Arial"/>
          <w:sz w:val="24"/>
          <w:szCs w:val="24"/>
          <w:lang w:val="es-ES"/>
        </w:rPr>
        <w:t>a través de la segunda línea de defensa ha venido realizando estrategias de seguimiento mediante visitas de campo a los diferentes puntos de vertimientos, informes de cada uno de los puntos, memorandos internos de alerta, comités de seguimiento y tablero de control, a fin de impulsar el cumplimiento al cronograma establecido en la resolución de PSMV; sin embargo, la oportunidad y efectividad del cumplimiento del plan requiere de actores de primera línea, que proveen los productos necesarios para garantizar el aseguramiento. Aunque es clara la transversalidad del proceso, la gestión no es concebida como tal y en consecuencia las áreas responsables y corresponsables están desarticuladas, visibilizando rompimiento en la unidad gestión y ejecución e insuficiencia en los elementos de control que soportan un compromiso institucional de gran importancia, que requiere seguimiento continuo y decisiones oportunas para abordar las desviaciones y minimizar el riesgo de sanciones por parte de la autoridad ambiental.</w:t>
      </w:r>
    </w:p>
    <w:bookmarkEnd w:id="5"/>
    <w:p w:rsidR="00E2155D" w:rsidRPr="00E2155D" w:rsidRDefault="0072305B" w:rsidP="00E2155D">
      <w:pPr>
        <w:jc w:val="both"/>
        <w:rPr>
          <w:rFonts w:ascii="Calibri" w:hAnsi="Calibri" w:cs="Calibri"/>
          <w:b/>
          <w:sz w:val="28"/>
          <w:szCs w:val="28"/>
        </w:rPr>
      </w:pPr>
      <w:r>
        <w:rPr>
          <w:rFonts w:ascii="Calibri" w:hAnsi="Calibri" w:cs="Calibri"/>
          <w:b/>
          <w:sz w:val="28"/>
          <w:szCs w:val="28"/>
        </w:rPr>
        <w:t>5.</w:t>
      </w:r>
      <w:r w:rsidR="007010B1" w:rsidRPr="00E2155D">
        <w:rPr>
          <w:rFonts w:ascii="Calibri" w:hAnsi="Calibri" w:cs="Calibri"/>
          <w:b/>
          <w:sz w:val="28"/>
          <w:szCs w:val="28"/>
        </w:rPr>
        <w:t>7</w:t>
      </w:r>
      <w:r w:rsidR="00EF0372" w:rsidRPr="00E2155D">
        <w:rPr>
          <w:rFonts w:ascii="Calibri" w:hAnsi="Calibri" w:cs="Calibri"/>
          <w:b/>
          <w:sz w:val="28"/>
          <w:szCs w:val="28"/>
        </w:rPr>
        <w:t>-Informe de Auditoría mantenimiento automotores</w:t>
      </w:r>
    </w:p>
    <w:p w:rsidR="00EF0372" w:rsidRPr="00E2155D" w:rsidRDefault="00EF0372" w:rsidP="00E2155D">
      <w:pPr>
        <w:jc w:val="both"/>
        <w:rPr>
          <w:rFonts w:ascii="Arial" w:hAnsi="Arial" w:cs="Arial"/>
          <w:sz w:val="24"/>
          <w:szCs w:val="24"/>
          <w:lang w:val="es-ES"/>
        </w:rPr>
      </w:pPr>
      <w:r w:rsidRPr="00E2155D">
        <w:rPr>
          <w:rFonts w:ascii="Arial" w:hAnsi="Arial" w:cs="Arial"/>
          <w:sz w:val="24"/>
          <w:szCs w:val="24"/>
          <w:lang w:val="es-ES"/>
        </w:rPr>
        <w:t>Se registra competencia técnica del talento humano involucrado en la gestión del subproceso evaluado dentro de las actividades propias del mantenimiento de vehículos livianos.</w:t>
      </w:r>
    </w:p>
    <w:p w:rsidR="00EF0372" w:rsidRPr="00E2155D" w:rsidRDefault="00EF0372" w:rsidP="00E2155D">
      <w:pPr>
        <w:jc w:val="both"/>
        <w:rPr>
          <w:rFonts w:ascii="Arial" w:hAnsi="Arial" w:cs="Arial"/>
          <w:sz w:val="24"/>
          <w:szCs w:val="24"/>
          <w:lang w:val="es-ES"/>
        </w:rPr>
      </w:pPr>
      <w:r w:rsidRPr="00E2155D">
        <w:rPr>
          <w:rFonts w:ascii="Arial" w:hAnsi="Arial" w:cs="Arial"/>
          <w:sz w:val="24"/>
          <w:szCs w:val="24"/>
          <w:lang w:val="es-ES"/>
        </w:rPr>
        <w:t>Se observó un adecuado control y seguimiento por parte del personal de apoyo de la supervisión de los contratos:</w:t>
      </w:r>
    </w:p>
    <w:p w:rsidR="00EF0372" w:rsidRPr="00D84C4E" w:rsidRDefault="00EF0372" w:rsidP="00E2155D">
      <w:pPr>
        <w:pStyle w:val="Prrafodelista"/>
        <w:spacing w:after="0" w:line="240" w:lineRule="auto"/>
        <w:ind w:left="0" w:right="-425"/>
        <w:jc w:val="both"/>
        <w:rPr>
          <w:rFonts w:ascii="Arial" w:hAnsi="Arial" w:cs="Arial"/>
          <w:lang w:eastAsia="es-CO"/>
        </w:rPr>
      </w:pPr>
      <w:r w:rsidRPr="00D84C4E">
        <w:rPr>
          <w:rFonts w:ascii="Arial" w:hAnsi="Arial" w:cs="Arial"/>
          <w:lang w:eastAsia="es-CO"/>
        </w:rPr>
        <w:t>2-05-14500-0627-2019 Servicio de Lavado.</w:t>
      </w:r>
    </w:p>
    <w:p w:rsidR="00EF0372" w:rsidRPr="00D84C4E" w:rsidRDefault="00EF0372" w:rsidP="00E2155D">
      <w:pPr>
        <w:pStyle w:val="Prrafodelista"/>
        <w:spacing w:after="0" w:line="240" w:lineRule="auto"/>
        <w:ind w:left="0" w:right="-425"/>
        <w:jc w:val="both"/>
        <w:rPr>
          <w:rFonts w:ascii="Arial" w:hAnsi="Arial" w:cs="Arial"/>
          <w:lang w:eastAsia="es-CO"/>
        </w:rPr>
      </w:pPr>
      <w:r w:rsidRPr="00D84C4E">
        <w:rPr>
          <w:rFonts w:ascii="Arial" w:hAnsi="Arial" w:cs="Arial"/>
          <w:lang w:eastAsia="es-CO"/>
        </w:rPr>
        <w:t>2-06-14500-0797-2019 Suministro de Baterías.</w:t>
      </w:r>
    </w:p>
    <w:p w:rsidR="00EF0372" w:rsidRPr="00D84C4E" w:rsidRDefault="00EF0372" w:rsidP="00E2155D">
      <w:pPr>
        <w:pStyle w:val="Prrafodelista"/>
        <w:spacing w:after="0" w:line="240" w:lineRule="auto"/>
        <w:ind w:left="0" w:right="-425"/>
        <w:jc w:val="both"/>
        <w:rPr>
          <w:rFonts w:ascii="Arial" w:hAnsi="Arial" w:cs="Arial"/>
          <w:lang w:eastAsia="es-CO"/>
        </w:rPr>
      </w:pPr>
      <w:r w:rsidRPr="00D84C4E">
        <w:rPr>
          <w:rFonts w:ascii="Arial" w:hAnsi="Arial" w:cs="Arial"/>
          <w:lang w:eastAsia="es-CO"/>
        </w:rPr>
        <w:t>2-06-14500-0897-2019 Suministro de llantas.</w:t>
      </w:r>
    </w:p>
    <w:p w:rsidR="00EF0372" w:rsidRDefault="00EF0372" w:rsidP="00E2155D">
      <w:pPr>
        <w:pStyle w:val="Prrafodelista"/>
        <w:spacing w:after="0" w:line="240" w:lineRule="auto"/>
        <w:ind w:left="0" w:right="-425"/>
        <w:jc w:val="both"/>
        <w:rPr>
          <w:rFonts w:ascii="Arial" w:hAnsi="Arial" w:cs="Arial"/>
          <w:lang w:eastAsia="es-CO"/>
        </w:rPr>
      </w:pPr>
      <w:r w:rsidRPr="00D84C4E">
        <w:rPr>
          <w:rFonts w:ascii="Arial" w:hAnsi="Arial" w:cs="Arial"/>
          <w:lang w:eastAsia="es-CO"/>
        </w:rPr>
        <w:t>2-05-14500-0544-2019 Revisiones Técnico-Mecánicas</w:t>
      </w:r>
    </w:p>
    <w:p w:rsidR="00E2155D" w:rsidRDefault="00E2155D" w:rsidP="00E2155D">
      <w:pPr>
        <w:spacing w:after="0"/>
        <w:jc w:val="both"/>
        <w:rPr>
          <w:rFonts w:ascii="Arial" w:hAnsi="Arial" w:cs="Arial"/>
          <w:sz w:val="24"/>
          <w:szCs w:val="24"/>
          <w:lang w:val="es-ES"/>
        </w:rPr>
      </w:pPr>
    </w:p>
    <w:p w:rsidR="00FA5B7D" w:rsidRPr="00E2155D" w:rsidRDefault="00174FA9" w:rsidP="00E2155D">
      <w:pPr>
        <w:jc w:val="both"/>
        <w:rPr>
          <w:rFonts w:ascii="Arial" w:hAnsi="Arial" w:cs="Arial"/>
          <w:sz w:val="24"/>
          <w:szCs w:val="24"/>
          <w:lang w:val="es-ES"/>
        </w:rPr>
      </w:pPr>
      <w:r w:rsidRPr="00E2155D">
        <w:rPr>
          <w:rFonts w:ascii="Arial" w:hAnsi="Arial" w:cs="Arial"/>
          <w:sz w:val="24"/>
          <w:szCs w:val="24"/>
          <w:lang w:val="es-ES"/>
        </w:rPr>
        <w:t>Evaluada la alineación de los objetivos, actividades clave del ciclo PHVA, procedimientos asociados, entre otros, del subproceso Mantenimiento de Automotores con la Caracterización del Proceso Gestión de Mantenimiento, se evidenció deficiencia en la fase de PLANEAR, ya que no se incluyen las actividades claves en la operación que garanticen el ejercicio de Planeación: Por otra parte, el formato MPFM0301F03 “Plan de Mantenimiento Vehículos Livianos”, que a criterio del equipo auditor corresponde más un programa, presenta un diseño que no cuenta con información clave como identificación del parque automotor, kilometraje para realizar el mantenimiento preventivo, fechas de programación y responsable entre otros datos, elementos que restan eficacia al instrumento, pues no permite ejercer un control en la ejecución del Mantenimiento Preventivo de Vehículos de manera adecuada; situación que genera debilidad en el ciclo PHVA definido en la caracterización de Proceso de Gestión de Mantenimiento.</w:t>
      </w:r>
    </w:p>
    <w:p w:rsidR="00174FA9" w:rsidRPr="00EF0372" w:rsidRDefault="00174FA9" w:rsidP="00174FA9">
      <w:pPr>
        <w:spacing w:after="0" w:line="240" w:lineRule="auto"/>
        <w:ind w:left="-142" w:firstLine="142"/>
        <w:jc w:val="both"/>
        <w:rPr>
          <w:rFonts w:ascii="Arial" w:hAnsi="Arial" w:cs="Arial"/>
          <w:b/>
        </w:rPr>
      </w:pPr>
    </w:p>
    <w:p w:rsidR="00374D19" w:rsidRPr="00E2155D" w:rsidRDefault="00174FA9" w:rsidP="00E2155D">
      <w:pPr>
        <w:jc w:val="both"/>
        <w:rPr>
          <w:rFonts w:ascii="Arial" w:hAnsi="Arial" w:cs="Arial"/>
          <w:sz w:val="24"/>
          <w:szCs w:val="24"/>
          <w:lang w:val="es-ES"/>
        </w:rPr>
      </w:pPr>
      <w:r w:rsidRPr="00E2155D">
        <w:rPr>
          <w:rFonts w:ascii="Arial" w:hAnsi="Arial" w:cs="Arial"/>
          <w:sz w:val="24"/>
          <w:szCs w:val="24"/>
          <w:lang w:val="es-ES"/>
        </w:rPr>
        <w:t>En el desarrollo de la auditoría</w:t>
      </w:r>
      <w:r w:rsidR="00E2155D">
        <w:rPr>
          <w:rFonts w:ascii="Arial" w:hAnsi="Arial" w:cs="Arial"/>
          <w:sz w:val="24"/>
          <w:szCs w:val="24"/>
          <w:lang w:val="es-ES"/>
        </w:rPr>
        <w:t xml:space="preserve"> no se evidenció</w:t>
      </w:r>
      <w:r w:rsidRPr="00E2155D">
        <w:rPr>
          <w:rFonts w:ascii="Arial" w:hAnsi="Arial" w:cs="Arial"/>
          <w:sz w:val="24"/>
          <w:szCs w:val="24"/>
          <w:lang w:val="es-ES"/>
        </w:rPr>
        <w:t xml:space="preserve"> aplicación adecuada de los controles establecidos en la Matriz de Riesgos de Corrupción como es el caso del control CTFM06 “Inspección visual y visto bueno (DSA)” la causa 4 “Cambio de repuestos o partes nuevas de los vehículos propiedad de la E</w:t>
      </w:r>
      <w:r w:rsidR="0078199A">
        <w:rPr>
          <w:rFonts w:ascii="Arial" w:hAnsi="Arial" w:cs="Arial"/>
          <w:sz w:val="24"/>
          <w:szCs w:val="24"/>
          <w:lang w:val="es-ES"/>
        </w:rPr>
        <w:t>mpresa</w:t>
      </w:r>
      <w:r w:rsidRPr="00E2155D">
        <w:rPr>
          <w:rFonts w:ascii="Arial" w:hAnsi="Arial" w:cs="Arial"/>
          <w:sz w:val="24"/>
          <w:szCs w:val="24"/>
          <w:lang w:val="es-ES"/>
        </w:rPr>
        <w:t xml:space="preserve"> por repuestos usados o remanufacturados.” del evento FMRC01” Utilización de recursos para labores de mantenimiento en actividades no propias del proceso, con el fin de favorecer intereses particulares”. Los repuestos suministrados a los técnicos por el contratista no cuentan con una trazabilidad documentada que evidencie que efectivamente los repuestos son instalados y a su vez, no existe control adecuado y documentado en la devolución y disposición final de los repuestos usados o reemplazados.</w:t>
      </w:r>
    </w:p>
    <w:p w:rsidR="00174FA9" w:rsidRPr="00E2155D" w:rsidRDefault="00174FA9" w:rsidP="00E2155D">
      <w:pPr>
        <w:jc w:val="both"/>
        <w:rPr>
          <w:rFonts w:ascii="Arial" w:hAnsi="Arial" w:cs="Arial"/>
          <w:sz w:val="24"/>
          <w:szCs w:val="24"/>
          <w:lang w:val="es-ES"/>
        </w:rPr>
      </w:pPr>
      <w:r w:rsidRPr="00E2155D">
        <w:rPr>
          <w:rFonts w:ascii="Arial" w:hAnsi="Arial" w:cs="Arial"/>
          <w:sz w:val="24"/>
          <w:szCs w:val="24"/>
          <w:lang w:val="es-ES"/>
        </w:rPr>
        <w:t>Realizadas las pruebas de recorrido al área auditada se evidenció que se cuenta con carpetas físicas de cada vehículo, se revisó la carpeta del vehículo con placa OBB 510 y en ella se encuentran carta de propiedad, pago de impuestos y novedades de accidentes de tránsito.</w:t>
      </w:r>
    </w:p>
    <w:p w:rsidR="00174FA9" w:rsidRPr="0078199A" w:rsidRDefault="00174FA9" w:rsidP="0078199A">
      <w:pPr>
        <w:jc w:val="both"/>
        <w:rPr>
          <w:rFonts w:ascii="Arial" w:hAnsi="Arial" w:cs="Arial"/>
          <w:sz w:val="24"/>
          <w:szCs w:val="24"/>
          <w:lang w:val="es-ES"/>
        </w:rPr>
      </w:pPr>
      <w:r w:rsidRPr="0078199A">
        <w:rPr>
          <w:rFonts w:ascii="Arial" w:hAnsi="Arial" w:cs="Arial"/>
          <w:sz w:val="24"/>
          <w:szCs w:val="24"/>
          <w:lang w:val="es-ES"/>
        </w:rPr>
        <w:t>Se evidencia que no se cuenta con hoja de vida de los vehículos que permita identificar la trazabilidad de las intervenciones de mantenimiento, incumpliendo el Artículo vigésimo octavo de la Resolución 0829 de 2012 de la EAAB-ESP.</w:t>
      </w:r>
    </w:p>
    <w:p w:rsidR="0078199A" w:rsidRPr="0078199A" w:rsidRDefault="0072305B" w:rsidP="00186854">
      <w:pPr>
        <w:spacing w:line="276" w:lineRule="auto"/>
        <w:jc w:val="both"/>
        <w:rPr>
          <w:rFonts w:ascii="Calibri" w:hAnsi="Calibri" w:cs="Calibri"/>
          <w:b/>
          <w:sz w:val="28"/>
          <w:szCs w:val="28"/>
        </w:rPr>
      </w:pPr>
      <w:r>
        <w:rPr>
          <w:rFonts w:ascii="Calibri" w:hAnsi="Calibri" w:cs="Calibri"/>
          <w:b/>
          <w:sz w:val="28"/>
          <w:szCs w:val="28"/>
        </w:rPr>
        <w:t>5.</w:t>
      </w:r>
      <w:r w:rsidR="007010B1" w:rsidRPr="0078199A">
        <w:rPr>
          <w:rFonts w:ascii="Calibri" w:hAnsi="Calibri" w:cs="Calibri"/>
          <w:b/>
          <w:sz w:val="28"/>
          <w:szCs w:val="28"/>
        </w:rPr>
        <w:t>8</w:t>
      </w:r>
      <w:r w:rsidR="00186854" w:rsidRPr="0078199A">
        <w:rPr>
          <w:rFonts w:ascii="Calibri" w:hAnsi="Calibri" w:cs="Calibri"/>
          <w:b/>
          <w:sz w:val="28"/>
          <w:szCs w:val="28"/>
        </w:rPr>
        <w:t>-Informe de seguimiento a la Gestión de Riesgos</w:t>
      </w:r>
    </w:p>
    <w:p w:rsidR="00186854" w:rsidRDefault="00186854" w:rsidP="0078199A">
      <w:pPr>
        <w:jc w:val="both"/>
        <w:rPr>
          <w:rFonts w:ascii="Arial" w:hAnsi="Arial" w:cs="Arial"/>
          <w:sz w:val="24"/>
          <w:szCs w:val="24"/>
          <w:lang w:val="es-ES"/>
        </w:rPr>
      </w:pPr>
      <w:r>
        <w:rPr>
          <w:rFonts w:ascii="Arial" w:hAnsi="Arial" w:cs="Arial"/>
          <w:sz w:val="24"/>
          <w:szCs w:val="24"/>
          <w:lang w:val="es-ES"/>
        </w:rPr>
        <w:t>La</w:t>
      </w:r>
      <w:r w:rsidRPr="007B4657">
        <w:rPr>
          <w:rFonts w:ascii="Arial" w:hAnsi="Arial" w:cs="Arial"/>
          <w:sz w:val="24"/>
          <w:szCs w:val="24"/>
          <w:lang w:val="es-ES"/>
        </w:rPr>
        <w:t xml:space="preserve"> evaluaci</w:t>
      </w:r>
      <w:r>
        <w:rPr>
          <w:rFonts w:ascii="Arial" w:hAnsi="Arial" w:cs="Arial"/>
          <w:sz w:val="24"/>
          <w:szCs w:val="24"/>
          <w:lang w:val="es-ES"/>
        </w:rPr>
        <w:t xml:space="preserve">ón de la </w:t>
      </w:r>
      <w:r w:rsidRPr="004D0241">
        <w:rPr>
          <w:rFonts w:ascii="Arial" w:hAnsi="Arial" w:cs="Arial"/>
          <w:sz w:val="24"/>
          <w:szCs w:val="24"/>
          <w:lang w:val="es-ES"/>
        </w:rPr>
        <w:t xml:space="preserve">gestión de los </w:t>
      </w:r>
      <w:r>
        <w:rPr>
          <w:rFonts w:ascii="Arial" w:hAnsi="Arial" w:cs="Arial"/>
          <w:sz w:val="24"/>
          <w:szCs w:val="24"/>
          <w:lang w:val="es-ES"/>
        </w:rPr>
        <w:t>R</w:t>
      </w:r>
      <w:r w:rsidRPr="004D0241">
        <w:rPr>
          <w:rFonts w:ascii="Arial" w:hAnsi="Arial" w:cs="Arial"/>
          <w:sz w:val="24"/>
          <w:szCs w:val="24"/>
          <w:lang w:val="es-ES"/>
        </w:rPr>
        <w:t xml:space="preserve">iesgos de </w:t>
      </w:r>
      <w:r w:rsidR="0078199A" w:rsidRPr="004D0241">
        <w:rPr>
          <w:rFonts w:ascii="Arial" w:hAnsi="Arial" w:cs="Arial"/>
          <w:sz w:val="24"/>
          <w:szCs w:val="24"/>
          <w:lang w:val="es-ES"/>
        </w:rPr>
        <w:t>Gestión</w:t>
      </w:r>
      <w:r w:rsidRPr="004D0241">
        <w:rPr>
          <w:rFonts w:ascii="Arial" w:hAnsi="Arial" w:cs="Arial"/>
          <w:sz w:val="24"/>
          <w:szCs w:val="24"/>
          <w:lang w:val="es-ES"/>
        </w:rPr>
        <w:t xml:space="preserve"> de 8 procesos actualizados</w:t>
      </w:r>
      <w:r>
        <w:rPr>
          <w:rFonts w:ascii="Arial" w:hAnsi="Arial" w:cs="Arial"/>
          <w:sz w:val="24"/>
          <w:szCs w:val="24"/>
          <w:lang w:val="es-ES"/>
        </w:rPr>
        <w:t xml:space="preserve"> </w:t>
      </w:r>
      <w:bookmarkStart w:id="6" w:name="_Hlk25820031"/>
      <w:r>
        <w:rPr>
          <w:rFonts w:ascii="Arial" w:hAnsi="Arial" w:cs="Arial"/>
          <w:sz w:val="24"/>
          <w:szCs w:val="24"/>
          <w:lang w:val="es-ES"/>
        </w:rPr>
        <w:t>(</w:t>
      </w:r>
      <w:r w:rsidRPr="0078199A">
        <w:rPr>
          <w:rFonts w:ascii="Arial" w:hAnsi="Arial" w:cs="Arial"/>
          <w:sz w:val="24"/>
          <w:szCs w:val="24"/>
          <w:lang w:val="es-ES"/>
        </w:rPr>
        <w:t>Gestión seguimiento monitoreo y control, Gestión Comercial, Gestión Documental, -Gestión de Calibración</w:t>
      </w:r>
      <w:r w:rsidR="0078199A">
        <w:rPr>
          <w:rFonts w:ascii="Arial" w:hAnsi="Arial" w:cs="Arial"/>
          <w:sz w:val="24"/>
          <w:szCs w:val="24"/>
          <w:lang w:val="es-ES"/>
        </w:rPr>
        <w:t xml:space="preserve"> -</w:t>
      </w:r>
      <w:r w:rsidRPr="0078199A">
        <w:rPr>
          <w:rFonts w:ascii="Arial" w:hAnsi="Arial" w:cs="Arial"/>
          <w:sz w:val="24"/>
          <w:szCs w:val="24"/>
          <w:lang w:val="es-ES"/>
        </w:rPr>
        <w:t xml:space="preserve"> </w:t>
      </w:r>
      <w:proofErr w:type="spellStart"/>
      <w:r w:rsidRPr="0078199A">
        <w:rPr>
          <w:rFonts w:ascii="Arial" w:hAnsi="Arial" w:cs="Arial"/>
          <w:sz w:val="24"/>
          <w:szCs w:val="24"/>
          <w:lang w:val="es-ES"/>
        </w:rPr>
        <w:t>Hidrometrología</w:t>
      </w:r>
      <w:proofErr w:type="spellEnd"/>
      <w:r w:rsidRPr="0078199A">
        <w:rPr>
          <w:rFonts w:ascii="Arial" w:hAnsi="Arial" w:cs="Arial"/>
          <w:sz w:val="24"/>
          <w:szCs w:val="24"/>
          <w:lang w:val="es-ES"/>
        </w:rPr>
        <w:t xml:space="preserve"> y Ensayo, Gestión de Servicios Administrativos, Gestión del Talento Humano, Gestión Contractual y Gestión Ambiental)</w:t>
      </w:r>
      <w:r>
        <w:rPr>
          <w:rFonts w:ascii="Arial" w:hAnsi="Arial" w:cs="Arial"/>
          <w:sz w:val="24"/>
          <w:szCs w:val="24"/>
          <w:lang w:val="es-ES"/>
        </w:rPr>
        <w:t xml:space="preserve"> </w:t>
      </w:r>
      <w:bookmarkEnd w:id="6"/>
      <w:r>
        <w:rPr>
          <w:rFonts w:ascii="Arial" w:hAnsi="Arial" w:cs="Arial"/>
          <w:sz w:val="24"/>
          <w:szCs w:val="24"/>
          <w:lang w:val="es-ES"/>
        </w:rPr>
        <w:t xml:space="preserve">con fecha de </w:t>
      </w:r>
      <w:r w:rsidRPr="004D0241">
        <w:rPr>
          <w:rFonts w:ascii="Arial" w:hAnsi="Arial" w:cs="Arial"/>
          <w:sz w:val="24"/>
          <w:szCs w:val="24"/>
          <w:lang w:val="es-ES"/>
        </w:rPr>
        <w:t>corte 30-08-2019; teniendo</w:t>
      </w:r>
      <w:r>
        <w:rPr>
          <w:rFonts w:ascii="Arial" w:hAnsi="Arial" w:cs="Arial"/>
          <w:sz w:val="24"/>
          <w:szCs w:val="24"/>
          <w:lang w:val="es-ES"/>
        </w:rPr>
        <w:t xml:space="preserve"> en cuenta que la actualización al mapa de riesgos que está efectuando la entidad tiene pendiente por </w:t>
      </w:r>
      <w:r w:rsidRPr="004D0241">
        <w:rPr>
          <w:rFonts w:ascii="Arial" w:hAnsi="Arial" w:cs="Arial"/>
          <w:sz w:val="24"/>
          <w:szCs w:val="24"/>
          <w:lang w:val="es-ES"/>
        </w:rPr>
        <w:t xml:space="preserve">documentar </w:t>
      </w:r>
      <w:r w:rsidR="0078199A">
        <w:rPr>
          <w:rFonts w:ascii="Arial" w:hAnsi="Arial" w:cs="Arial"/>
          <w:sz w:val="24"/>
          <w:szCs w:val="24"/>
          <w:lang w:val="es-ES"/>
        </w:rPr>
        <w:t>los</w:t>
      </w:r>
      <w:r>
        <w:rPr>
          <w:rFonts w:ascii="Arial" w:hAnsi="Arial" w:cs="Arial"/>
          <w:sz w:val="24"/>
          <w:szCs w:val="24"/>
          <w:lang w:val="es-ES"/>
        </w:rPr>
        <w:t xml:space="preserve"> procesos, Gestión de mantenimiento y Gestión Acueducto y Alc</w:t>
      </w:r>
      <w:r w:rsidRPr="00D2152B">
        <w:rPr>
          <w:rFonts w:ascii="Arial" w:hAnsi="Arial" w:cs="Arial"/>
          <w:sz w:val="24"/>
          <w:szCs w:val="24"/>
          <w:lang w:val="es-ES"/>
        </w:rPr>
        <w:t>antarillado, y adicionalmente el informe realizado por esta oficina con corte a marzo de la presente vigencia, en el cual se evaluaron 10 procesos actualizados.</w:t>
      </w:r>
    </w:p>
    <w:p w:rsidR="00186854" w:rsidRPr="0078199A" w:rsidRDefault="00186854" w:rsidP="0078199A">
      <w:pPr>
        <w:pStyle w:val="Prrafodelista"/>
        <w:numPr>
          <w:ilvl w:val="0"/>
          <w:numId w:val="16"/>
        </w:numPr>
        <w:spacing w:after="0" w:line="276" w:lineRule="auto"/>
        <w:ind w:left="426" w:hanging="426"/>
        <w:contextualSpacing w:val="0"/>
        <w:jc w:val="both"/>
        <w:rPr>
          <w:rFonts w:ascii="Arial" w:hAnsi="Arial" w:cs="Arial"/>
          <w:b/>
        </w:rPr>
      </w:pPr>
      <w:r w:rsidRPr="0078199A">
        <w:rPr>
          <w:rFonts w:ascii="Arial" w:hAnsi="Arial" w:cs="Arial"/>
        </w:rPr>
        <w:t>Se resalta el acompañamiento en la orientación y aplicación metodológica en la identificación y revaluación de riesgos de los procesos de las áreas que ha realizado la segunda línea de defensa, la Dirección de Calidad y Procesos de la Gerencia de Planeamiento.</w:t>
      </w:r>
    </w:p>
    <w:p w:rsidR="00186854" w:rsidRPr="0078199A" w:rsidRDefault="00186854" w:rsidP="0078199A">
      <w:pPr>
        <w:pStyle w:val="Prrafodelista"/>
        <w:numPr>
          <w:ilvl w:val="0"/>
          <w:numId w:val="16"/>
        </w:numPr>
        <w:spacing w:after="0" w:line="276" w:lineRule="auto"/>
        <w:ind w:left="426" w:hanging="426"/>
        <w:contextualSpacing w:val="0"/>
        <w:jc w:val="both"/>
        <w:rPr>
          <w:rFonts w:ascii="Arial" w:hAnsi="Arial" w:cs="Arial"/>
          <w:b/>
        </w:rPr>
      </w:pPr>
      <w:r w:rsidRPr="0078199A">
        <w:rPr>
          <w:rFonts w:ascii="Arial" w:hAnsi="Arial" w:cs="Arial"/>
        </w:rPr>
        <w:t xml:space="preserve">Así mismo se registró, </w:t>
      </w:r>
      <w:r w:rsidR="00707205" w:rsidRPr="0078199A">
        <w:rPr>
          <w:rFonts w:ascii="Arial" w:hAnsi="Arial" w:cs="Arial"/>
        </w:rPr>
        <w:t>en su mayoría</w:t>
      </w:r>
      <w:r w:rsidRPr="0078199A">
        <w:rPr>
          <w:rFonts w:ascii="Arial" w:hAnsi="Arial" w:cs="Arial"/>
        </w:rPr>
        <w:t xml:space="preserve"> el compromiso que tienen las áreas evaluadas, primera línea de defensa, con la gestión del riesgo en la </w:t>
      </w:r>
      <w:r w:rsidR="0078199A" w:rsidRPr="0078199A">
        <w:rPr>
          <w:rFonts w:ascii="Arial" w:hAnsi="Arial" w:cs="Arial"/>
        </w:rPr>
        <w:t>Empresa</w:t>
      </w:r>
      <w:r w:rsidRPr="0078199A">
        <w:rPr>
          <w:rFonts w:ascii="Arial" w:hAnsi="Arial" w:cs="Arial"/>
        </w:rPr>
        <w:t>, en cada una de las fases definidas identificación, valoración, seguimiento y monitoreo de sus matrices de riesgos.</w:t>
      </w:r>
    </w:p>
    <w:p w:rsidR="00186854" w:rsidRPr="0078199A" w:rsidRDefault="00186854" w:rsidP="0078199A">
      <w:pPr>
        <w:pStyle w:val="Prrafodelista"/>
        <w:numPr>
          <w:ilvl w:val="0"/>
          <w:numId w:val="16"/>
        </w:numPr>
        <w:spacing w:after="0" w:line="276" w:lineRule="auto"/>
        <w:ind w:left="426" w:hanging="426"/>
        <w:contextualSpacing w:val="0"/>
        <w:jc w:val="both"/>
        <w:rPr>
          <w:rFonts w:ascii="Arial" w:hAnsi="Arial" w:cs="Arial"/>
          <w:b/>
        </w:rPr>
      </w:pPr>
      <w:r w:rsidRPr="0078199A">
        <w:rPr>
          <w:rFonts w:ascii="Arial" w:hAnsi="Arial" w:cs="Arial"/>
        </w:rPr>
        <w:t>El resultado de la evaluación del diseño, y efectividad de los 224 controles asociados a los 42 riesgos de los 8 procesos analizados se obtuvo lo siguiente: 44 (20%) es débil, 22 (10%) moderados y 158 (70%) son fuertes.</w:t>
      </w:r>
    </w:p>
    <w:p w:rsidR="00186854" w:rsidRPr="0078199A" w:rsidRDefault="00186854" w:rsidP="0078199A">
      <w:pPr>
        <w:pStyle w:val="Prrafodelista"/>
        <w:numPr>
          <w:ilvl w:val="0"/>
          <w:numId w:val="16"/>
        </w:numPr>
        <w:spacing w:after="0" w:line="276" w:lineRule="auto"/>
        <w:ind w:left="426" w:hanging="426"/>
        <w:contextualSpacing w:val="0"/>
        <w:jc w:val="both"/>
        <w:rPr>
          <w:rFonts w:ascii="Arial" w:hAnsi="Arial" w:cs="Arial"/>
          <w:b/>
        </w:rPr>
      </w:pPr>
      <w:r w:rsidRPr="0078199A">
        <w:rPr>
          <w:rFonts w:ascii="Arial" w:hAnsi="Arial" w:cs="Arial"/>
        </w:rPr>
        <w:t>Los controles evaluados como débiles afectan la calificación del riesgo residual y en consecuencia deben ser priorizados en su revisión, con el fin de asegurar una adecuada gestión del riesgo en la empresa.</w:t>
      </w:r>
    </w:p>
    <w:p w:rsidR="00186854" w:rsidRPr="0078199A" w:rsidRDefault="00186854" w:rsidP="0078199A">
      <w:pPr>
        <w:pStyle w:val="Prrafodelista"/>
        <w:numPr>
          <w:ilvl w:val="0"/>
          <w:numId w:val="16"/>
        </w:numPr>
        <w:spacing w:after="0" w:line="276" w:lineRule="auto"/>
        <w:ind w:left="426" w:hanging="426"/>
        <w:contextualSpacing w:val="0"/>
        <w:jc w:val="both"/>
        <w:rPr>
          <w:rFonts w:ascii="Arial" w:hAnsi="Arial" w:cs="Arial"/>
          <w:b/>
        </w:rPr>
      </w:pPr>
      <w:r w:rsidRPr="0078199A">
        <w:rPr>
          <w:rFonts w:ascii="Arial" w:hAnsi="Arial" w:cs="Arial"/>
        </w:rPr>
        <w:t>Se registraron debilidades en la identificación de algunos riesgos, los cuales se ajustan más a causas, se recomienda revisar y adelantar nuevamente el ejercicio de identificación de riesgos en aquellos casos puntuales.</w:t>
      </w:r>
    </w:p>
    <w:p w:rsidR="00707205" w:rsidRPr="00141764" w:rsidRDefault="00707205" w:rsidP="00707205">
      <w:pPr>
        <w:pStyle w:val="Prrafodelista"/>
        <w:spacing w:after="0" w:line="276" w:lineRule="auto"/>
        <w:contextualSpacing w:val="0"/>
        <w:jc w:val="both"/>
        <w:rPr>
          <w:rFonts w:ascii="Arial" w:hAnsi="Arial" w:cs="Arial"/>
          <w:b/>
          <w:sz w:val="24"/>
          <w:szCs w:val="24"/>
        </w:rPr>
      </w:pPr>
    </w:p>
    <w:p w:rsidR="00186854" w:rsidRPr="0078199A" w:rsidRDefault="0072305B" w:rsidP="0078199A">
      <w:pPr>
        <w:spacing w:line="276" w:lineRule="auto"/>
        <w:jc w:val="both"/>
        <w:rPr>
          <w:rFonts w:ascii="Calibri" w:hAnsi="Calibri" w:cs="Calibri"/>
          <w:b/>
          <w:sz w:val="28"/>
          <w:szCs w:val="28"/>
        </w:rPr>
      </w:pPr>
      <w:r>
        <w:rPr>
          <w:rFonts w:ascii="Calibri" w:hAnsi="Calibri" w:cs="Calibri"/>
          <w:b/>
          <w:sz w:val="28"/>
          <w:szCs w:val="28"/>
        </w:rPr>
        <w:t>5.</w:t>
      </w:r>
      <w:r w:rsidR="007010B1" w:rsidRPr="0078199A">
        <w:rPr>
          <w:rFonts w:ascii="Calibri" w:hAnsi="Calibri" w:cs="Calibri"/>
          <w:b/>
          <w:sz w:val="28"/>
          <w:szCs w:val="28"/>
        </w:rPr>
        <w:t>9</w:t>
      </w:r>
      <w:r w:rsidR="00707205" w:rsidRPr="0078199A">
        <w:rPr>
          <w:rFonts w:ascii="Calibri" w:hAnsi="Calibri" w:cs="Calibri"/>
          <w:b/>
          <w:sz w:val="28"/>
          <w:szCs w:val="28"/>
        </w:rPr>
        <w:t>-Informe de auditor</w:t>
      </w:r>
      <w:r w:rsidR="001E4DB9" w:rsidRPr="0078199A">
        <w:rPr>
          <w:rFonts w:ascii="Calibri" w:hAnsi="Calibri" w:cs="Calibri"/>
          <w:b/>
          <w:sz w:val="28"/>
          <w:szCs w:val="28"/>
        </w:rPr>
        <w:t>í</w:t>
      </w:r>
      <w:r w:rsidR="00707205" w:rsidRPr="0078199A">
        <w:rPr>
          <w:rFonts w:ascii="Calibri" w:hAnsi="Calibri" w:cs="Calibri"/>
          <w:b/>
          <w:sz w:val="28"/>
          <w:szCs w:val="28"/>
        </w:rPr>
        <w:t xml:space="preserve">a interna </w:t>
      </w:r>
      <w:r w:rsidR="001E4DB9" w:rsidRPr="0078199A">
        <w:rPr>
          <w:rFonts w:ascii="Calibri" w:hAnsi="Calibri" w:cs="Calibri"/>
          <w:b/>
          <w:sz w:val="28"/>
          <w:szCs w:val="28"/>
        </w:rPr>
        <w:t xml:space="preserve">seguridad Firewall, IPS, Antivirus, </w:t>
      </w:r>
      <w:proofErr w:type="spellStart"/>
      <w:r w:rsidR="001E4DB9" w:rsidRPr="0078199A">
        <w:rPr>
          <w:rFonts w:ascii="Calibri" w:hAnsi="Calibri" w:cs="Calibri"/>
          <w:b/>
          <w:sz w:val="28"/>
          <w:szCs w:val="28"/>
        </w:rPr>
        <w:t>Hardening</w:t>
      </w:r>
      <w:proofErr w:type="spellEnd"/>
      <w:r w:rsidR="001E4DB9" w:rsidRPr="0078199A">
        <w:rPr>
          <w:rFonts w:ascii="Calibri" w:hAnsi="Calibri" w:cs="Calibri"/>
          <w:b/>
          <w:sz w:val="28"/>
          <w:szCs w:val="28"/>
        </w:rPr>
        <w:t xml:space="preserve"> plataforma crítica y gestión de vulnerabilidades</w:t>
      </w:r>
    </w:p>
    <w:p w:rsidR="008A5C27" w:rsidRPr="0078199A" w:rsidRDefault="008A5C27" w:rsidP="0078199A">
      <w:pPr>
        <w:jc w:val="both"/>
        <w:rPr>
          <w:rFonts w:ascii="Arial" w:hAnsi="Arial" w:cs="Arial"/>
          <w:sz w:val="24"/>
          <w:szCs w:val="24"/>
          <w:lang w:val="es-ES"/>
        </w:rPr>
      </w:pPr>
      <w:r w:rsidRPr="0078199A">
        <w:rPr>
          <w:rFonts w:ascii="Arial" w:hAnsi="Arial" w:cs="Arial"/>
          <w:sz w:val="24"/>
          <w:szCs w:val="24"/>
          <w:lang w:val="es-ES"/>
        </w:rPr>
        <w:t xml:space="preserve">Resultado de la evaluación a la gestión de los dispositivos y procesos de seguridad Firewall, IPS, Antivirus, Gestión de Vulnerabilidades y </w:t>
      </w:r>
      <w:proofErr w:type="spellStart"/>
      <w:r w:rsidRPr="0078199A">
        <w:rPr>
          <w:rFonts w:ascii="Arial" w:hAnsi="Arial" w:cs="Arial"/>
          <w:sz w:val="24"/>
          <w:szCs w:val="24"/>
          <w:lang w:val="es-ES"/>
        </w:rPr>
        <w:t>Hardening</w:t>
      </w:r>
      <w:proofErr w:type="spellEnd"/>
      <w:r w:rsidRPr="0078199A">
        <w:rPr>
          <w:rFonts w:ascii="Arial" w:hAnsi="Arial" w:cs="Arial"/>
          <w:sz w:val="24"/>
          <w:szCs w:val="24"/>
          <w:lang w:val="es-ES"/>
        </w:rPr>
        <w:t>, se identifica</w:t>
      </w:r>
      <w:r w:rsidR="00946A4E" w:rsidRPr="0078199A">
        <w:rPr>
          <w:rFonts w:ascii="Arial" w:hAnsi="Arial" w:cs="Arial"/>
          <w:sz w:val="24"/>
          <w:szCs w:val="24"/>
          <w:lang w:val="es-ES"/>
        </w:rPr>
        <w:t>ron</w:t>
      </w:r>
      <w:r w:rsidRPr="0078199A">
        <w:rPr>
          <w:rFonts w:ascii="Arial" w:hAnsi="Arial" w:cs="Arial"/>
          <w:sz w:val="24"/>
          <w:szCs w:val="24"/>
          <w:lang w:val="es-ES"/>
        </w:rPr>
        <w:t xml:space="preserve"> observaciones en temas específicos de gestión de riesgos, definición y documentación de metodologías y procedimientos, mantenimiento de reglas de firewall, ejecución de actividades de gestión de vulnerabilidades e innovación tecnológica.</w:t>
      </w:r>
    </w:p>
    <w:p w:rsidR="008A5C27" w:rsidRPr="0078199A" w:rsidRDefault="008A5C27" w:rsidP="0078199A">
      <w:pPr>
        <w:jc w:val="both"/>
        <w:rPr>
          <w:rFonts w:ascii="Arial" w:hAnsi="Arial" w:cs="Arial"/>
          <w:sz w:val="24"/>
          <w:szCs w:val="24"/>
          <w:lang w:val="es-ES"/>
        </w:rPr>
      </w:pPr>
      <w:r w:rsidRPr="0078199A">
        <w:rPr>
          <w:rFonts w:ascii="Arial" w:hAnsi="Arial" w:cs="Arial"/>
          <w:sz w:val="24"/>
          <w:szCs w:val="24"/>
          <w:lang w:val="es-ES"/>
        </w:rPr>
        <w:t>Se considera importante resaltar que en el Plan Maestro de Tecnología en el proyecto 30. “Fortalecimiento de las capacidades de gestión de tecnología”, se encuentra la actividad “Fortalecimiento del Modelo de Seguridad de la Información” que se encuentra en desarrollo según cronograma, tema de inte</w:t>
      </w:r>
      <w:r w:rsidR="0078199A">
        <w:rPr>
          <w:rFonts w:ascii="Arial" w:hAnsi="Arial" w:cs="Arial"/>
          <w:sz w:val="24"/>
          <w:szCs w:val="24"/>
          <w:lang w:val="es-ES"/>
        </w:rPr>
        <w:t>rés para una próxima auditoría.</w:t>
      </w:r>
    </w:p>
    <w:p w:rsidR="008A5C27" w:rsidRPr="0078199A" w:rsidRDefault="008A5C27" w:rsidP="003809ED">
      <w:pPr>
        <w:ind w:left="-5"/>
        <w:jc w:val="both"/>
        <w:rPr>
          <w:rFonts w:ascii="Arial" w:hAnsi="Arial" w:cs="Arial"/>
          <w:sz w:val="24"/>
          <w:szCs w:val="24"/>
        </w:rPr>
      </w:pPr>
      <w:r w:rsidRPr="0078199A">
        <w:rPr>
          <w:rFonts w:ascii="Arial" w:hAnsi="Arial" w:cs="Arial"/>
          <w:sz w:val="24"/>
          <w:szCs w:val="24"/>
        </w:rPr>
        <w:t xml:space="preserve">A continuación, se presentan las conclusiones de cada uno: </w:t>
      </w:r>
    </w:p>
    <w:p w:rsidR="008A5C27" w:rsidRPr="003809ED" w:rsidRDefault="008A5C27" w:rsidP="0078199A">
      <w:pPr>
        <w:pStyle w:val="Prrafodelista"/>
        <w:numPr>
          <w:ilvl w:val="0"/>
          <w:numId w:val="15"/>
        </w:numPr>
        <w:autoSpaceDE w:val="0"/>
        <w:autoSpaceDN w:val="0"/>
        <w:adjustRightInd w:val="0"/>
        <w:spacing w:after="0" w:line="275" w:lineRule="auto"/>
        <w:ind w:left="426" w:hanging="426"/>
        <w:contextualSpacing w:val="0"/>
        <w:jc w:val="both"/>
        <w:rPr>
          <w:rFonts w:ascii="Arial" w:hAnsi="Arial" w:cs="Arial"/>
          <w:b/>
          <w:i/>
          <w:iCs/>
        </w:rPr>
      </w:pPr>
      <w:r w:rsidRPr="003C3D36">
        <w:rPr>
          <w:rFonts w:ascii="Arial" w:hAnsi="Arial" w:cs="Arial"/>
          <w:b/>
          <w:i/>
          <w:iCs/>
        </w:rPr>
        <w:t>Firewall</w:t>
      </w:r>
    </w:p>
    <w:p w:rsidR="008A5C27" w:rsidRPr="00773DCD" w:rsidRDefault="008A5C27" w:rsidP="008A5C27">
      <w:pPr>
        <w:jc w:val="both"/>
        <w:rPr>
          <w:rFonts w:ascii="Arial" w:hAnsi="Arial" w:cs="Arial"/>
          <w:sz w:val="24"/>
          <w:szCs w:val="24"/>
          <w:lang w:val="es-ES"/>
        </w:rPr>
      </w:pPr>
      <w:r w:rsidRPr="00773DCD">
        <w:rPr>
          <w:rFonts w:ascii="Arial" w:hAnsi="Arial" w:cs="Arial"/>
          <w:sz w:val="24"/>
          <w:szCs w:val="24"/>
          <w:lang w:val="es-ES"/>
        </w:rPr>
        <w:t>En la evaluación de la gestión y administración de Firewall se identific</w:t>
      </w:r>
      <w:r w:rsidR="00946A4E" w:rsidRPr="00773DCD">
        <w:rPr>
          <w:rFonts w:ascii="Arial" w:hAnsi="Arial" w:cs="Arial"/>
          <w:sz w:val="24"/>
          <w:szCs w:val="24"/>
          <w:lang w:val="es-ES"/>
        </w:rPr>
        <w:t>ó</w:t>
      </w:r>
      <w:r w:rsidRPr="00773DCD">
        <w:rPr>
          <w:rFonts w:ascii="Arial" w:hAnsi="Arial" w:cs="Arial"/>
          <w:sz w:val="24"/>
          <w:szCs w:val="24"/>
          <w:lang w:val="es-ES"/>
        </w:rPr>
        <w:t xml:space="preserve"> que la EAAB cuenta con 5 Firewalls gestionados por la Gerencia de TI, esta gestión es apoyada con personal experto de SONDA. En el conocimiento no se identificaron políticas y procedimientos relacionados con la administración y gestión de estos dispositivos de seguridad. Se identifica que el proveedor SONDA cuenta con un manual de operación para el cumplimiento contractual el cual no fue suministrado a la auditoría. En el conocimiento de las características técnicas, se identifica 2 firewall cuya vida útil ya fue cumplida y para los cuales ya no se tiene soporte del fabricante lo que conlleva a que no puedan ser actualizados quedando limitada su funcionalidad, capacidad y el soporte para la solución de problemas.</w:t>
      </w:r>
    </w:p>
    <w:p w:rsidR="008A5C27" w:rsidRPr="003809ED" w:rsidRDefault="008A5C27" w:rsidP="00773DCD">
      <w:pPr>
        <w:pStyle w:val="Prrafodelista"/>
        <w:numPr>
          <w:ilvl w:val="0"/>
          <w:numId w:val="15"/>
        </w:numPr>
        <w:autoSpaceDE w:val="0"/>
        <w:autoSpaceDN w:val="0"/>
        <w:adjustRightInd w:val="0"/>
        <w:spacing w:after="0" w:line="275" w:lineRule="auto"/>
        <w:ind w:left="426" w:hanging="426"/>
        <w:contextualSpacing w:val="0"/>
        <w:jc w:val="both"/>
        <w:rPr>
          <w:rFonts w:ascii="Arial" w:hAnsi="Arial" w:cs="Arial"/>
          <w:b/>
          <w:i/>
          <w:iCs/>
        </w:rPr>
      </w:pPr>
      <w:r w:rsidRPr="003C3D36">
        <w:rPr>
          <w:rFonts w:ascii="Arial" w:hAnsi="Arial" w:cs="Arial"/>
          <w:b/>
          <w:i/>
          <w:iCs/>
        </w:rPr>
        <w:t>IPS</w:t>
      </w:r>
    </w:p>
    <w:p w:rsidR="008A5C27" w:rsidRDefault="008A5C27" w:rsidP="008A5C27">
      <w:pPr>
        <w:jc w:val="both"/>
        <w:rPr>
          <w:rFonts w:ascii="Arial" w:hAnsi="Arial" w:cs="Arial"/>
        </w:rPr>
      </w:pPr>
      <w:r w:rsidRPr="003C3D36">
        <w:rPr>
          <w:rFonts w:ascii="Arial" w:hAnsi="Arial" w:cs="Arial"/>
        </w:rPr>
        <w:t>En la evaluación de la gestión del IPS se identific</w:t>
      </w:r>
      <w:r w:rsidR="00946A4E">
        <w:rPr>
          <w:rFonts w:ascii="Arial" w:hAnsi="Arial" w:cs="Arial"/>
        </w:rPr>
        <w:t>ó</w:t>
      </w:r>
      <w:r w:rsidRPr="003C3D36">
        <w:rPr>
          <w:rFonts w:ascii="Arial" w:hAnsi="Arial" w:cs="Arial"/>
        </w:rPr>
        <w:t xml:space="preserve"> que es una herramienta de monitoreo de marca McAfee gestionada por la Gerencia de TI con el apoyo de personal experto de SONDA a través de un contrato de servicios de TI. En el conocimiento no se identificaron políticas y procedimientos relacionados con la administración y gestión de esta herramienta de seguridad, el proveedor SONDA cuenta con un manual de operación para el cumplimiento contractual el cual no fue suministrado a la auditoría. En el conocimiento de las características técnicas, se identifica que esta herramienta ya cumplió su vida útil y en este momento ya no se tiene soporte del fabricante lo que conlleva a que no pueda ser actualizada quedando limitada su funcionalidad en la identificación de nuevas modalidades de ataques y el soporte para la solución de problemas.</w:t>
      </w:r>
    </w:p>
    <w:p w:rsidR="008A5C27" w:rsidRPr="003809ED" w:rsidRDefault="008A5C27" w:rsidP="00773DCD">
      <w:pPr>
        <w:pStyle w:val="Prrafodelista"/>
        <w:numPr>
          <w:ilvl w:val="0"/>
          <w:numId w:val="15"/>
        </w:numPr>
        <w:autoSpaceDE w:val="0"/>
        <w:autoSpaceDN w:val="0"/>
        <w:adjustRightInd w:val="0"/>
        <w:spacing w:after="0" w:line="275" w:lineRule="auto"/>
        <w:ind w:left="426" w:hanging="426"/>
        <w:contextualSpacing w:val="0"/>
        <w:jc w:val="both"/>
        <w:rPr>
          <w:rFonts w:ascii="Arial" w:hAnsi="Arial" w:cs="Arial"/>
          <w:b/>
          <w:i/>
          <w:iCs/>
        </w:rPr>
      </w:pPr>
      <w:r w:rsidRPr="003C3D36">
        <w:rPr>
          <w:rFonts w:ascii="Arial" w:hAnsi="Arial" w:cs="Arial"/>
          <w:b/>
          <w:i/>
          <w:iCs/>
        </w:rPr>
        <w:t>Antivirus</w:t>
      </w:r>
    </w:p>
    <w:p w:rsidR="008A5C27" w:rsidRPr="003C3D36" w:rsidRDefault="008A5C27" w:rsidP="008A5C27">
      <w:pPr>
        <w:jc w:val="both"/>
        <w:rPr>
          <w:rFonts w:ascii="Arial" w:hAnsi="Arial" w:cs="Arial"/>
        </w:rPr>
      </w:pPr>
      <w:r w:rsidRPr="003C3D36">
        <w:rPr>
          <w:rFonts w:ascii="Arial" w:hAnsi="Arial" w:cs="Arial"/>
        </w:rPr>
        <w:t>En la evaluación de la gestión del Antivirus se identific</w:t>
      </w:r>
      <w:r w:rsidR="00946A4E">
        <w:rPr>
          <w:rFonts w:ascii="Arial" w:hAnsi="Arial" w:cs="Arial"/>
        </w:rPr>
        <w:t>ó</w:t>
      </w:r>
      <w:r w:rsidRPr="003C3D36">
        <w:rPr>
          <w:rFonts w:ascii="Arial" w:hAnsi="Arial" w:cs="Arial"/>
        </w:rPr>
        <w:t xml:space="preserve"> que esta es una Suite Antivirus McAfee </w:t>
      </w:r>
      <w:proofErr w:type="spellStart"/>
      <w:r w:rsidRPr="003C3D36">
        <w:rPr>
          <w:rFonts w:ascii="Arial" w:hAnsi="Arial" w:cs="Arial"/>
        </w:rPr>
        <w:t>ePolicy</w:t>
      </w:r>
      <w:proofErr w:type="spellEnd"/>
      <w:r w:rsidRPr="003C3D36">
        <w:rPr>
          <w:rFonts w:ascii="Arial" w:hAnsi="Arial" w:cs="Arial"/>
        </w:rPr>
        <w:t xml:space="preserve"> </w:t>
      </w:r>
      <w:proofErr w:type="spellStart"/>
      <w:r w:rsidRPr="003C3D36">
        <w:rPr>
          <w:rFonts w:ascii="Arial" w:hAnsi="Arial" w:cs="Arial"/>
        </w:rPr>
        <w:t>Orchestrator</w:t>
      </w:r>
      <w:proofErr w:type="spellEnd"/>
      <w:r w:rsidRPr="003C3D36">
        <w:rPr>
          <w:rFonts w:ascii="Arial" w:hAnsi="Arial" w:cs="Arial"/>
        </w:rPr>
        <w:t xml:space="preserve"> (EPO) gestionada por la Gerencia de TI con el apoyo de personal experto de SONDA a través de un contrato de servicios de TI que incluye soporte, mantenimiento, actualización, instalación, capacitación y migración hasta el 15 de diciembre de 2019. En el conocimiento no se identificaron políticas y procedimientos relacionados con la administración y gestión de esta herramienta de seguridad, el proveedor SONDA cuenta con un manual de operación para el cumplimiento contractual el cual no fue suministrado a la auditoría.</w:t>
      </w:r>
    </w:p>
    <w:p w:rsidR="008A5C27" w:rsidRPr="003809ED" w:rsidRDefault="008A5C27" w:rsidP="00773DCD">
      <w:pPr>
        <w:pStyle w:val="Prrafodelista"/>
        <w:numPr>
          <w:ilvl w:val="0"/>
          <w:numId w:val="15"/>
        </w:numPr>
        <w:autoSpaceDE w:val="0"/>
        <w:autoSpaceDN w:val="0"/>
        <w:adjustRightInd w:val="0"/>
        <w:spacing w:after="0" w:line="275" w:lineRule="auto"/>
        <w:ind w:left="426" w:hanging="426"/>
        <w:contextualSpacing w:val="0"/>
        <w:jc w:val="both"/>
        <w:rPr>
          <w:rFonts w:ascii="Arial" w:hAnsi="Arial" w:cs="Arial"/>
          <w:b/>
          <w:i/>
          <w:iCs/>
        </w:rPr>
      </w:pPr>
      <w:r w:rsidRPr="003C3D36">
        <w:rPr>
          <w:rFonts w:ascii="Arial" w:hAnsi="Arial" w:cs="Arial"/>
          <w:b/>
          <w:i/>
          <w:iCs/>
        </w:rPr>
        <w:t>Gestión de Vulnerabilidades</w:t>
      </w:r>
    </w:p>
    <w:p w:rsidR="008A5C27" w:rsidRDefault="008A5C27" w:rsidP="008A5C27">
      <w:pPr>
        <w:jc w:val="both"/>
        <w:rPr>
          <w:rFonts w:ascii="Arial" w:hAnsi="Arial" w:cs="Arial"/>
        </w:rPr>
      </w:pPr>
      <w:r w:rsidRPr="003C3D36">
        <w:rPr>
          <w:rFonts w:ascii="Arial" w:hAnsi="Arial" w:cs="Arial"/>
        </w:rPr>
        <w:t>En la evaluación de la gestión de vulnerabilidades se identific</w:t>
      </w:r>
      <w:r w:rsidR="00946A4E">
        <w:rPr>
          <w:rFonts w:ascii="Arial" w:hAnsi="Arial" w:cs="Arial"/>
        </w:rPr>
        <w:t>ó</w:t>
      </w:r>
      <w:r w:rsidRPr="003C3D36">
        <w:rPr>
          <w:rFonts w:ascii="Arial" w:hAnsi="Arial" w:cs="Arial"/>
        </w:rPr>
        <w:t xml:space="preserve"> que se utiliza la herramienta </w:t>
      </w:r>
      <w:proofErr w:type="spellStart"/>
      <w:r w:rsidRPr="003C3D36">
        <w:rPr>
          <w:rFonts w:ascii="Arial" w:hAnsi="Arial" w:cs="Arial"/>
        </w:rPr>
        <w:t>Nexpose</w:t>
      </w:r>
      <w:proofErr w:type="spellEnd"/>
      <w:r w:rsidRPr="003C3D36">
        <w:rPr>
          <w:rFonts w:ascii="Arial" w:hAnsi="Arial" w:cs="Arial"/>
        </w:rPr>
        <w:t xml:space="preserve"> de Rapid7 gestionada por la Gerencia de TI con el apoyo de personal experto de SONDA a través del contrato de servicios de TI que incluye mantenimiento, soporte, actualización, instalación, capacitación y migración.</w:t>
      </w:r>
    </w:p>
    <w:p w:rsidR="008A5C27" w:rsidRDefault="008A5C27" w:rsidP="008A5C27">
      <w:pPr>
        <w:jc w:val="both"/>
        <w:rPr>
          <w:rFonts w:ascii="Arial" w:hAnsi="Arial" w:cs="Arial"/>
        </w:rPr>
      </w:pPr>
      <w:r>
        <w:rPr>
          <w:rFonts w:ascii="Arial" w:hAnsi="Arial" w:cs="Arial"/>
        </w:rPr>
        <w:t>Para la evaluación de este proceso, se solicitó la siguiente información:</w:t>
      </w:r>
    </w:p>
    <w:p w:rsidR="008A5C27" w:rsidRDefault="008A5C27" w:rsidP="008A5C27">
      <w:pPr>
        <w:pStyle w:val="Prrafodelista"/>
        <w:numPr>
          <w:ilvl w:val="0"/>
          <w:numId w:val="17"/>
        </w:numPr>
        <w:spacing w:after="0" w:line="240" w:lineRule="auto"/>
        <w:jc w:val="both"/>
        <w:rPr>
          <w:rFonts w:ascii="Arial" w:hAnsi="Arial" w:cs="Arial"/>
        </w:rPr>
      </w:pPr>
      <w:r>
        <w:rPr>
          <w:rFonts w:ascii="Arial" w:hAnsi="Arial" w:cs="Arial"/>
        </w:rPr>
        <w:t>E</w:t>
      </w:r>
      <w:r w:rsidRPr="00F14AEB">
        <w:rPr>
          <w:rFonts w:ascii="Arial" w:hAnsi="Arial" w:cs="Arial"/>
        </w:rPr>
        <w:t>l inventario detallado de los recursos tecnológicos que son monitoreados con la herramienta</w:t>
      </w:r>
    </w:p>
    <w:p w:rsidR="008A5C27" w:rsidRDefault="008A5C27" w:rsidP="008A5C27">
      <w:pPr>
        <w:pStyle w:val="Prrafodelista"/>
        <w:numPr>
          <w:ilvl w:val="0"/>
          <w:numId w:val="17"/>
        </w:numPr>
        <w:spacing w:after="0" w:line="240" w:lineRule="auto"/>
        <w:jc w:val="both"/>
        <w:rPr>
          <w:rFonts w:ascii="Arial" w:hAnsi="Arial" w:cs="Arial"/>
        </w:rPr>
      </w:pPr>
      <w:r>
        <w:rPr>
          <w:rFonts w:ascii="Arial" w:hAnsi="Arial" w:cs="Arial"/>
        </w:rPr>
        <w:t>L</w:t>
      </w:r>
      <w:r w:rsidRPr="00BE4C0A">
        <w:rPr>
          <w:rFonts w:ascii="Arial" w:hAnsi="Arial" w:cs="Arial"/>
        </w:rPr>
        <w:t xml:space="preserve">os reportes de escaneos generados por la herramienta </w:t>
      </w:r>
      <w:proofErr w:type="spellStart"/>
      <w:r w:rsidRPr="00BE4C0A">
        <w:rPr>
          <w:rFonts w:ascii="Arial" w:hAnsi="Arial" w:cs="Arial"/>
        </w:rPr>
        <w:t>Nexpose</w:t>
      </w:r>
      <w:proofErr w:type="spellEnd"/>
    </w:p>
    <w:p w:rsidR="008A5C27" w:rsidRPr="003809ED" w:rsidRDefault="008A5C27" w:rsidP="008A5C27">
      <w:pPr>
        <w:pStyle w:val="Prrafodelista"/>
        <w:numPr>
          <w:ilvl w:val="0"/>
          <w:numId w:val="17"/>
        </w:numPr>
        <w:spacing w:after="0" w:line="240" w:lineRule="auto"/>
        <w:jc w:val="both"/>
        <w:rPr>
          <w:rFonts w:ascii="Arial" w:hAnsi="Arial" w:cs="Arial"/>
        </w:rPr>
      </w:pPr>
      <w:r>
        <w:rPr>
          <w:rFonts w:ascii="Arial" w:hAnsi="Arial" w:cs="Arial"/>
        </w:rPr>
        <w:t>S</w:t>
      </w:r>
      <w:r w:rsidRPr="00BE4C0A">
        <w:rPr>
          <w:rFonts w:ascii="Arial" w:hAnsi="Arial" w:cs="Arial"/>
        </w:rPr>
        <w:t>oporte del análisis realizado a las vulnerabilidades identificadas con base en los reportes generados</w:t>
      </w:r>
    </w:p>
    <w:p w:rsidR="00773DCD" w:rsidRDefault="00773DCD" w:rsidP="008A5C27">
      <w:pPr>
        <w:jc w:val="both"/>
        <w:rPr>
          <w:rFonts w:ascii="Arial" w:hAnsi="Arial" w:cs="Arial"/>
        </w:rPr>
      </w:pPr>
    </w:p>
    <w:p w:rsidR="008A5C27" w:rsidRDefault="008A5C27" w:rsidP="008A5C27">
      <w:pPr>
        <w:jc w:val="both"/>
        <w:rPr>
          <w:rFonts w:ascii="Arial" w:hAnsi="Arial" w:cs="Arial"/>
        </w:rPr>
      </w:pPr>
      <w:r>
        <w:rPr>
          <w:rFonts w:ascii="Arial" w:hAnsi="Arial" w:cs="Arial"/>
        </w:rPr>
        <w:t>Es importante manifestar que la información no fue suministrada al auditor, argumentando que la información era de carácter confidencial; En reunión se mostraba apartes de la información sin que eso implique que el auditor pueda tener realmente un concepto o criterio sobre la gestión realizada; por lo que se desconoce el estado actual de la gestión de vulnerabilidades o si se está realizando gestión de forma adecuada sobre las vulnerabilidades identificadas. Igualmente se desconoce si los resultados de la gestión han sido comunicados a la Alta Gerencia.</w:t>
      </w:r>
    </w:p>
    <w:p w:rsidR="008A5C27" w:rsidRPr="003809ED" w:rsidRDefault="008A5C27" w:rsidP="00773DCD">
      <w:pPr>
        <w:pStyle w:val="Prrafodelista"/>
        <w:numPr>
          <w:ilvl w:val="0"/>
          <w:numId w:val="15"/>
        </w:numPr>
        <w:autoSpaceDE w:val="0"/>
        <w:autoSpaceDN w:val="0"/>
        <w:adjustRightInd w:val="0"/>
        <w:spacing w:after="0" w:line="275" w:lineRule="auto"/>
        <w:ind w:left="426" w:hanging="426"/>
        <w:contextualSpacing w:val="0"/>
        <w:jc w:val="both"/>
        <w:rPr>
          <w:rFonts w:ascii="Arial" w:hAnsi="Arial" w:cs="Arial"/>
          <w:b/>
          <w:i/>
          <w:iCs/>
        </w:rPr>
      </w:pPr>
      <w:proofErr w:type="spellStart"/>
      <w:r w:rsidRPr="003C3D36">
        <w:rPr>
          <w:rFonts w:ascii="Arial" w:hAnsi="Arial" w:cs="Arial"/>
          <w:b/>
          <w:i/>
          <w:iCs/>
        </w:rPr>
        <w:t>Hardening</w:t>
      </w:r>
      <w:proofErr w:type="spellEnd"/>
      <w:r w:rsidRPr="003C3D36">
        <w:rPr>
          <w:rFonts w:ascii="Arial" w:hAnsi="Arial" w:cs="Arial"/>
          <w:b/>
          <w:i/>
          <w:iCs/>
        </w:rPr>
        <w:t xml:space="preserve"> Plataforma Crítica</w:t>
      </w:r>
    </w:p>
    <w:p w:rsidR="008A5C27" w:rsidRPr="003C3D36" w:rsidRDefault="008A5C27" w:rsidP="008A5C27">
      <w:pPr>
        <w:ind w:left="30"/>
        <w:jc w:val="both"/>
        <w:rPr>
          <w:rFonts w:ascii="Arial" w:hAnsi="Arial" w:cs="Arial"/>
        </w:rPr>
      </w:pPr>
      <w:r w:rsidRPr="003C3D36">
        <w:rPr>
          <w:rFonts w:ascii="Arial" w:hAnsi="Arial" w:cs="Arial"/>
        </w:rPr>
        <w:t xml:space="preserve">En la evaluación de la gestión de </w:t>
      </w:r>
      <w:proofErr w:type="spellStart"/>
      <w:r w:rsidRPr="003C3D36">
        <w:rPr>
          <w:rFonts w:ascii="Arial" w:hAnsi="Arial" w:cs="Arial"/>
        </w:rPr>
        <w:t>Hardening</w:t>
      </w:r>
      <w:proofErr w:type="spellEnd"/>
      <w:r w:rsidRPr="003C3D36">
        <w:rPr>
          <w:rFonts w:ascii="Arial" w:hAnsi="Arial" w:cs="Arial"/>
        </w:rPr>
        <w:t xml:space="preserve"> plataforma crítica se identific</w:t>
      </w:r>
      <w:r w:rsidR="00946A4E">
        <w:rPr>
          <w:rFonts w:ascii="Arial" w:hAnsi="Arial" w:cs="Arial"/>
        </w:rPr>
        <w:t>ó</w:t>
      </w:r>
      <w:r w:rsidRPr="003C3D36">
        <w:rPr>
          <w:rFonts w:ascii="Arial" w:hAnsi="Arial" w:cs="Arial"/>
        </w:rPr>
        <w:t xml:space="preserve"> que esta es una actividad realizada por el grupo de seguridad y el apoyo de personal experto de SONDA a través del contrato de servicios de TI, donde se diseñaron y aplicaron plantillas de seguridad para el aseguramiento del Sistema Operativo y Bases de Datos de la plataforma crítica definida por la EAAB a nivel contractual y sobre otros recursos tecnológicos. Del resultado de la gestión realizada para asegurar la plataforma se generaron los informes</w:t>
      </w:r>
      <w:r>
        <w:rPr>
          <w:rFonts w:ascii="Arial" w:hAnsi="Arial" w:cs="Arial"/>
        </w:rPr>
        <w:t xml:space="preserve"> con los resultados de la actividad</w:t>
      </w:r>
      <w:r w:rsidRPr="003C3D36">
        <w:rPr>
          <w:rFonts w:ascii="Arial" w:hAnsi="Arial" w:cs="Arial"/>
        </w:rPr>
        <w:t>, está pendiente es el análisis de las excepciones que se presentaron en la ejecución de las líneas base de seguridad para las cuales se debe</w:t>
      </w:r>
      <w:r>
        <w:rPr>
          <w:rFonts w:ascii="Arial" w:hAnsi="Arial" w:cs="Arial"/>
        </w:rPr>
        <w:t>rá</w:t>
      </w:r>
      <w:r w:rsidRPr="003C3D36">
        <w:rPr>
          <w:rFonts w:ascii="Arial" w:hAnsi="Arial" w:cs="Arial"/>
        </w:rPr>
        <w:t xml:space="preserve">n establecer controles compensatorios y dejarlos </w:t>
      </w:r>
      <w:r>
        <w:rPr>
          <w:rFonts w:ascii="Arial" w:hAnsi="Arial" w:cs="Arial"/>
        </w:rPr>
        <w:t xml:space="preserve">debidamente </w:t>
      </w:r>
      <w:r w:rsidRPr="003C3D36">
        <w:rPr>
          <w:rFonts w:ascii="Arial" w:hAnsi="Arial" w:cs="Arial"/>
        </w:rPr>
        <w:t>documentados.</w:t>
      </w:r>
    </w:p>
    <w:p w:rsidR="008A5C27" w:rsidRPr="003C3D36" w:rsidRDefault="008A5C27" w:rsidP="008A5C27">
      <w:pPr>
        <w:jc w:val="both"/>
        <w:rPr>
          <w:rFonts w:ascii="Arial" w:hAnsi="Arial" w:cs="Arial"/>
        </w:rPr>
      </w:pPr>
    </w:p>
    <w:p w:rsidR="00773DCD" w:rsidRPr="00773DCD" w:rsidRDefault="0072305B" w:rsidP="00773DCD">
      <w:pPr>
        <w:spacing w:line="276" w:lineRule="auto"/>
        <w:jc w:val="both"/>
        <w:rPr>
          <w:rFonts w:ascii="Calibri" w:hAnsi="Calibri" w:cs="Calibri"/>
          <w:b/>
          <w:sz w:val="28"/>
          <w:szCs w:val="28"/>
        </w:rPr>
      </w:pPr>
      <w:r>
        <w:rPr>
          <w:rFonts w:ascii="Calibri" w:hAnsi="Calibri" w:cs="Calibri"/>
          <w:b/>
          <w:sz w:val="28"/>
          <w:szCs w:val="28"/>
        </w:rPr>
        <w:t>5.</w:t>
      </w:r>
      <w:r w:rsidR="007010B1" w:rsidRPr="00773DCD">
        <w:rPr>
          <w:rFonts w:ascii="Calibri" w:hAnsi="Calibri" w:cs="Calibri"/>
          <w:b/>
          <w:sz w:val="28"/>
          <w:szCs w:val="28"/>
        </w:rPr>
        <w:t>10</w:t>
      </w:r>
      <w:r w:rsidR="004C6C74" w:rsidRPr="00773DCD">
        <w:rPr>
          <w:rFonts w:ascii="Calibri" w:hAnsi="Calibri" w:cs="Calibri"/>
          <w:b/>
          <w:sz w:val="28"/>
          <w:szCs w:val="28"/>
        </w:rPr>
        <w:t>-Informe de auditoría de seguimiento a la implementación de la política de Gobierno digital</w:t>
      </w:r>
    </w:p>
    <w:p w:rsidR="008A5C27" w:rsidRPr="00773DCD" w:rsidRDefault="000E653B" w:rsidP="00773DCD">
      <w:pPr>
        <w:jc w:val="both"/>
        <w:rPr>
          <w:rFonts w:ascii="Arial" w:hAnsi="Arial" w:cs="Arial"/>
          <w:sz w:val="24"/>
          <w:szCs w:val="24"/>
          <w:lang w:val="es-ES"/>
        </w:rPr>
      </w:pPr>
      <w:r w:rsidRPr="00773DCD">
        <w:rPr>
          <w:rFonts w:ascii="Arial" w:hAnsi="Arial" w:cs="Arial"/>
          <w:sz w:val="24"/>
          <w:szCs w:val="24"/>
          <w:lang w:val="es-ES"/>
        </w:rPr>
        <w:t>Practicadas las pruebas de auditoría por parte del equipo auditor para verificar el cumplimiento del Decreto 1008 de 2018, se observ</w:t>
      </w:r>
      <w:r w:rsidR="00946A4E" w:rsidRPr="00773DCD">
        <w:rPr>
          <w:rFonts w:ascii="Arial" w:hAnsi="Arial" w:cs="Arial"/>
          <w:sz w:val="24"/>
          <w:szCs w:val="24"/>
          <w:lang w:val="es-ES"/>
        </w:rPr>
        <w:t>ó</w:t>
      </w:r>
      <w:r w:rsidRPr="00773DCD">
        <w:rPr>
          <w:rFonts w:ascii="Arial" w:hAnsi="Arial" w:cs="Arial"/>
          <w:sz w:val="24"/>
          <w:szCs w:val="24"/>
          <w:lang w:val="es-ES"/>
        </w:rPr>
        <w:t xml:space="preserve"> que la Dirección Servicios de Informática líder de la implementación de la Política de Gobierno Digital ha convocado mesas de trabajo con el equipo técnico establecido en el Comité Institucional de Gestión y Desempeño de la EAAB-ESP, en las cuales se pretende adelantar actividades con el apoyo del equipo, se presentan propuestas y se informa de los avances y actividades pendientes. Sin embargo, se evidenció que no hay asistencia a estas reuniones por parte de los líderes de las áreas que conforman el Grupo Técnico y los funcionarios delegados en último momento no tienen el conocimiento de los temas a tratar, ni el nivel de atribución para la toma de decisiones que permitan avanzar en la implementación y cumplimiento de las actividades planeadas para la implementación de Gobierno Digital, esto ha conllevado a que el desarrollo de las actividades que deben ser aprobadas por el equipo interdisciplinario terminen siendo definidas por la Dirección Servicios de Informática con el fin de avanzar.</w:t>
      </w:r>
    </w:p>
    <w:p w:rsidR="00773DCD" w:rsidRPr="00773DCD" w:rsidRDefault="0072305B" w:rsidP="00773DCD">
      <w:pPr>
        <w:spacing w:line="276" w:lineRule="auto"/>
        <w:jc w:val="both"/>
        <w:rPr>
          <w:rFonts w:ascii="Calibri" w:hAnsi="Calibri" w:cs="Calibri"/>
          <w:b/>
          <w:sz w:val="28"/>
          <w:szCs w:val="28"/>
        </w:rPr>
      </w:pPr>
      <w:r>
        <w:rPr>
          <w:rFonts w:ascii="Calibri" w:hAnsi="Calibri" w:cs="Calibri"/>
          <w:b/>
          <w:sz w:val="28"/>
          <w:szCs w:val="28"/>
        </w:rPr>
        <w:t>5.</w:t>
      </w:r>
      <w:r w:rsidR="007010B1" w:rsidRPr="00773DCD">
        <w:rPr>
          <w:rFonts w:ascii="Calibri" w:hAnsi="Calibri" w:cs="Calibri"/>
          <w:b/>
          <w:sz w:val="28"/>
          <w:szCs w:val="28"/>
        </w:rPr>
        <w:t>11</w:t>
      </w:r>
      <w:r w:rsidR="00B15535" w:rsidRPr="00773DCD">
        <w:rPr>
          <w:rFonts w:ascii="Calibri" w:hAnsi="Calibri" w:cs="Calibri"/>
          <w:b/>
          <w:sz w:val="28"/>
          <w:szCs w:val="28"/>
        </w:rPr>
        <w:t>- Informe de auditoría Controles Generales TI-SCADA RED MATRIZ</w:t>
      </w:r>
    </w:p>
    <w:p w:rsidR="00B15535" w:rsidRPr="00773DCD" w:rsidRDefault="00B15535" w:rsidP="00773DCD">
      <w:pPr>
        <w:jc w:val="both"/>
        <w:rPr>
          <w:rFonts w:ascii="Arial" w:hAnsi="Arial" w:cs="Arial"/>
          <w:sz w:val="24"/>
          <w:szCs w:val="24"/>
          <w:lang w:val="es-ES"/>
        </w:rPr>
      </w:pPr>
      <w:r w:rsidRPr="00773DCD">
        <w:rPr>
          <w:rFonts w:ascii="Arial" w:hAnsi="Arial" w:cs="Arial"/>
          <w:sz w:val="24"/>
          <w:szCs w:val="24"/>
          <w:lang w:val="es-ES"/>
        </w:rPr>
        <w:t>El procedimiento de monitoreo y control SCADA de Red Matriz en Centro Modelia, soporta al cumplimiento de la estrategia “Prestación del Servicio”, lo que genera que una indisponibilidad tenga un impacto importante sobre el negocio.</w:t>
      </w:r>
    </w:p>
    <w:p w:rsidR="00B15535" w:rsidRPr="00773DCD" w:rsidRDefault="00B15535" w:rsidP="00773DCD">
      <w:pPr>
        <w:jc w:val="both"/>
        <w:rPr>
          <w:rFonts w:ascii="Arial" w:hAnsi="Arial" w:cs="Arial"/>
          <w:sz w:val="24"/>
          <w:szCs w:val="24"/>
          <w:lang w:val="es-ES"/>
        </w:rPr>
      </w:pPr>
      <w:r w:rsidRPr="00773DCD">
        <w:rPr>
          <w:rFonts w:ascii="Arial" w:hAnsi="Arial" w:cs="Arial"/>
          <w:sz w:val="24"/>
          <w:szCs w:val="24"/>
          <w:lang w:val="es-ES"/>
        </w:rPr>
        <w:t>Como resultado del entendimiento del proceso de monitoreo y control que la EAAB - ESP tiene para los servicios de a</w:t>
      </w:r>
      <w:r w:rsidR="00725B4D">
        <w:rPr>
          <w:rFonts w:ascii="Arial" w:hAnsi="Arial" w:cs="Arial"/>
          <w:sz w:val="24"/>
          <w:szCs w:val="24"/>
          <w:lang w:val="es-ES"/>
        </w:rPr>
        <w:t>cueducto</w:t>
      </w:r>
      <w:r w:rsidRPr="00773DCD">
        <w:rPr>
          <w:rFonts w:ascii="Arial" w:hAnsi="Arial" w:cs="Arial"/>
          <w:sz w:val="24"/>
          <w:szCs w:val="24"/>
          <w:lang w:val="es-ES"/>
        </w:rPr>
        <w:t xml:space="preserve"> y alcantarillado por medio de SCADA y entrevistas realizadas a personal clave de la Gerencia de TI, se concluye que, a pesar de que la Gerencia de TI cuenta con procedimientos transversales las direcciones a su cargo desconocen la aplicabilidad de éstos generando posibles brechas de seguridad en cuanto al control de accesos y permisos, control de cambios y/o gestión de aplicaciones</w:t>
      </w:r>
      <w:r w:rsidR="00725B4D">
        <w:rPr>
          <w:rFonts w:ascii="Arial" w:hAnsi="Arial" w:cs="Arial"/>
          <w:sz w:val="24"/>
          <w:szCs w:val="24"/>
          <w:lang w:val="es-ES"/>
        </w:rPr>
        <w:t>. A</w:t>
      </w:r>
      <w:r w:rsidRPr="00773DCD">
        <w:rPr>
          <w:rFonts w:ascii="Arial" w:hAnsi="Arial" w:cs="Arial"/>
          <w:sz w:val="24"/>
          <w:szCs w:val="24"/>
          <w:lang w:val="es-ES"/>
        </w:rPr>
        <w:t>sí mismo los lineamientos o políticas que se deben cumplir para garantizar la disponibilidad, integridad y confidencialidad de la información.</w:t>
      </w:r>
    </w:p>
    <w:p w:rsidR="00B15535" w:rsidRPr="00773DCD" w:rsidRDefault="00B15535" w:rsidP="00773DCD">
      <w:pPr>
        <w:jc w:val="both"/>
        <w:rPr>
          <w:rFonts w:ascii="Arial" w:hAnsi="Arial" w:cs="Arial"/>
          <w:sz w:val="24"/>
          <w:szCs w:val="24"/>
          <w:lang w:val="es-ES"/>
        </w:rPr>
      </w:pPr>
      <w:r w:rsidRPr="00773DCD">
        <w:rPr>
          <w:rFonts w:ascii="Arial" w:hAnsi="Arial" w:cs="Arial"/>
          <w:sz w:val="24"/>
          <w:szCs w:val="24"/>
          <w:lang w:val="es-ES"/>
        </w:rPr>
        <w:t>Se recomienda realizar mantenimiento a la base de usuarios del sistema de información y del Directorio Activo de SCADA con el fin de:</w:t>
      </w:r>
    </w:p>
    <w:p w:rsidR="00B15535" w:rsidRPr="00725B4D" w:rsidRDefault="00B15535" w:rsidP="00725B4D">
      <w:pPr>
        <w:pStyle w:val="NormalWeb"/>
        <w:numPr>
          <w:ilvl w:val="0"/>
          <w:numId w:val="18"/>
        </w:numPr>
        <w:ind w:left="426" w:hanging="426"/>
        <w:rPr>
          <w:rFonts w:ascii="Arial" w:hAnsi="Arial" w:cs="Arial"/>
          <w:sz w:val="22"/>
          <w:szCs w:val="22"/>
        </w:rPr>
      </w:pPr>
      <w:r w:rsidRPr="00725B4D">
        <w:rPr>
          <w:rFonts w:ascii="Arial" w:hAnsi="Arial" w:cs="Arial"/>
          <w:sz w:val="22"/>
          <w:szCs w:val="22"/>
        </w:rPr>
        <w:t>Renombrar usuarios que no cumplen con la nomenclatura establecida por la EAAB -ESP.</w:t>
      </w:r>
    </w:p>
    <w:p w:rsidR="00B15535" w:rsidRPr="00725B4D" w:rsidRDefault="00B15535" w:rsidP="00725B4D">
      <w:pPr>
        <w:pStyle w:val="NormalWeb"/>
        <w:numPr>
          <w:ilvl w:val="0"/>
          <w:numId w:val="18"/>
        </w:numPr>
        <w:ind w:left="426" w:hanging="426"/>
        <w:jc w:val="both"/>
        <w:rPr>
          <w:rFonts w:ascii="Arial" w:hAnsi="Arial" w:cs="Arial"/>
          <w:sz w:val="22"/>
          <w:szCs w:val="22"/>
          <w:lang w:val="es-CO" w:eastAsia="es-CO"/>
        </w:rPr>
      </w:pPr>
      <w:r w:rsidRPr="00725B4D">
        <w:rPr>
          <w:rFonts w:ascii="Arial" w:hAnsi="Arial" w:cs="Arial"/>
          <w:sz w:val="22"/>
          <w:szCs w:val="22"/>
        </w:rPr>
        <w:t>Asignar responsables a los usuarios propios del sistema</w:t>
      </w:r>
      <w:r w:rsidR="00725B4D" w:rsidRPr="00725B4D">
        <w:rPr>
          <w:rFonts w:ascii="Arial" w:hAnsi="Arial" w:cs="Arial"/>
          <w:sz w:val="22"/>
          <w:szCs w:val="22"/>
        </w:rPr>
        <w:t>.</w:t>
      </w:r>
    </w:p>
    <w:p w:rsidR="00B15535" w:rsidRPr="00725B4D" w:rsidRDefault="00B15535" w:rsidP="00725B4D">
      <w:pPr>
        <w:pStyle w:val="NormalWeb"/>
        <w:numPr>
          <w:ilvl w:val="0"/>
          <w:numId w:val="18"/>
        </w:numPr>
        <w:ind w:left="426" w:hanging="426"/>
        <w:jc w:val="both"/>
        <w:rPr>
          <w:rFonts w:ascii="Arial" w:hAnsi="Arial" w:cs="Arial"/>
          <w:sz w:val="22"/>
          <w:szCs w:val="22"/>
          <w:lang w:val="es-CO" w:eastAsia="es-CO"/>
        </w:rPr>
      </w:pPr>
      <w:r w:rsidRPr="00725B4D">
        <w:rPr>
          <w:rFonts w:ascii="Arial" w:hAnsi="Arial" w:cs="Arial"/>
          <w:sz w:val="22"/>
          <w:szCs w:val="22"/>
          <w:lang w:val="es-CO" w:eastAsia="es-CO"/>
        </w:rPr>
        <w:t>Establecer la necesidad de mantener usuarios genéricos o bloquearlos. En caso de requerirse deben están asignados a un responsable y estar documentados.</w:t>
      </w:r>
    </w:p>
    <w:p w:rsidR="00B15535" w:rsidRPr="00725B4D" w:rsidRDefault="00B15535" w:rsidP="00725B4D">
      <w:pPr>
        <w:pStyle w:val="NormalWeb"/>
        <w:numPr>
          <w:ilvl w:val="0"/>
          <w:numId w:val="18"/>
        </w:numPr>
        <w:ind w:left="426" w:hanging="426"/>
        <w:jc w:val="both"/>
        <w:rPr>
          <w:rFonts w:ascii="Arial" w:hAnsi="Arial" w:cs="Arial"/>
          <w:sz w:val="22"/>
          <w:szCs w:val="22"/>
          <w:lang w:val="es-CO" w:eastAsia="es-CO"/>
        </w:rPr>
      </w:pPr>
      <w:r w:rsidRPr="00725B4D">
        <w:rPr>
          <w:rFonts w:ascii="Arial" w:hAnsi="Arial" w:cs="Arial"/>
          <w:sz w:val="22"/>
          <w:szCs w:val="22"/>
          <w:lang w:val="es-CO" w:eastAsia="es-CO"/>
        </w:rPr>
        <w:t>Establecer, con el apoyo de Seguridad de la Información</w:t>
      </w:r>
      <w:r w:rsidR="00725B4D" w:rsidRPr="00725B4D">
        <w:rPr>
          <w:rFonts w:ascii="Arial" w:hAnsi="Arial" w:cs="Arial"/>
          <w:sz w:val="22"/>
          <w:szCs w:val="22"/>
          <w:lang w:val="es-CO" w:eastAsia="es-CO"/>
        </w:rPr>
        <w:t>,</w:t>
      </w:r>
      <w:r w:rsidRPr="00725B4D">
        <w:rPr>
          <w:rFonts w:ascii="Arial" w:hAnsi="Arial" w:cs="Arial"/>
          <w:sz w:val="22"/>
          <w:szCs w:val="22"/>
          <w:lang w:val="es-CO" w:eastAsia="es-CO"/>
        </w:rPr>
        <w:t xml:space="preserve"> los  lineamientos para el manejo de usuarios genéricos y usuarios del sistema para los cuales se defina responsables y estar debidamente documentados e incluirlos en el monitoreo (log de auditoría)</w:t>
      </w:r>
      <w:r w:rsidR="00725B4D" w:rsidRPr="00725B4D">
        <w:rPr>
          <w:rFonts w:ascii="Arial" w:hAnsi="Arial" w:cs="Arial"/>
          <w:sz w:val="22"/>
          <w:szCs w:val="22"/>
          <w:lang w:val="es-CO" w:eastAsia="es-CO"/>
        </w:rPr>
        <w:t>.</w:t>
      </w:r>
    </w:p>
    <w:p w:rsidR="00B15535" w:rsidRDefault="00B15535" w:rsidP="00B15535">
      <w:pPr>
        <w:pStyle w:val="NormalWeb"/>
        <w:rPr>
          <w:rFonts w:ascii="Arial" w:hAnsi="Arial" w:cs="Arial"/>
        </w:rPr>
      </w:pPr>
      <w:r w:rsidRPr="00324C55">
        <w:rPr>
          <w:rFonts w:ascii="Arial" w:hAnsi="Arial" w:cs="Arial"/>
          <w:lang w:val="es-CO" w:eastAsia="es-CO"/>
        </w:rPr>
        <w:t>Revisar los usuarios que presentan diferencias en el campo nombre con Directorio Activo y unificarlos</w:t>
      </w:r>
      <w:r>
        <w:rPr>
          <w:rFonts w:ascii="Arial" w:hAnsi="Arial" w:cs="Arial"/>
          <w:lang w:val="es-CO" w:eastAsia="es-CO"/>
        </w:rPr>
        <w:t>.</w:t>
      </w:r>
      <w:r w:rsidRPr="00B15535">
        <w:rPr>
          <w:rFonts w:ascii="Arial" w:hAnsi="Arial" w:cs="Arial"/>
        </w:rPr>
        <w:t xml:space="preserve"> </w:t>
      </w:r>
      <w:r w:rsidRPr="00510363">
        <w:rPr>
          <w:rFonts w:ascii="Arial" w:hAnsi="Arial" w:cs="Arial"/>
        </w:rPr>
        <w:t xml:space="preserve">Se recomienda realizar mantenimiento a la base de usuarios del sistema de información </w:t>
      </w:r>
      <w:r>
        <w:rPr>
          <w:rFonts w:ascii="Arial" w:hAnsi="Arial" w:cs="Arial"/>
        </w:rPr>
        <w:t xml:space="preserve">y del Directorio Activo de SCADA </w:t>
      </w:r>
      <w:r w:rsidRPr="00510363">
        <w:rPr>
          <w:rFonts w:ascii="Arial" w:hAnsi="Arial" w:cs="Arial"/>
        </w:rPr>
        <w:t>con el fin de:</w:t>
      </w:r>
    </w:p>
    <w:p w:rsidR="00B15535" w:rsidRPr="00725B4D" w:rsidRDefault="00B15535" w:rsidP="00725B4D">
      <w:pPr>
        <w:pStyle w:val="NormalWeb"/>
        <w:numPr>
          <w:ilvl w:val="0"/>
          <w:numId w:val="18"/>
        </w:numPr>
        <w:ind w:left="426" w:hanging="426"/>
        <w:rPr>
          <w:rFonts w:ascii="Arial" w:hAnsi="Arial" w:cs="Arial"/>
          <w:sz w:val="22"/>
          <w:szCs w:val="22"/>
        </w:rPr>
      </w:pPr>
      <w:r w:rsidRPr="00725B4D">
        <w:rPr>
          <w:rFonts w:ascii="Arial" w:hAnsi="Arial" w:cs="Arial"/>
          <w:sz w:val="22"/>
          <w:szCs w:val="22"/>
        </w:rPr>
        <w:t>Renombrar usuarios que no cumplen con la nomenclatura establecida por la EAAB -ESP.</w:t>
      </w:r>
    </w:p>
    <w:p w:rsidR="00B15535" w:rsidRPr="00725B4D" w:rsidRDefault="00B15535" w:rsidP="00725B4D">
      <w:pPr>
        <w:pStyle w:val="NormalWeb"/>
        <w:numPr>
          <w:ilvl w:val="0"/>
          <w:numId w:val="18"/>
        </w:numPr>
        <w:ind w:left="426" w:hanging="426"/>
        <w:rPr>
          <w:rFonts w:ascii="Arial" w:hAnsi="Arial" w:cs="Arial"/>
          <w:sz w:val="22"/>
          <w:szCs w:val="22"/>
        </w:rPr>
      </w:pPr>
      <w:r w:rsidRPr="00725B4D">
        <w:rPr>
          <w:rFonts w:ascii="Arial" w:hAnsi="Arial" w:cs="Arial"/>
          <w:sz w:val="22"/>
          <w:szCs w:val="22"/>
        </w:rPr>
        <w:t>Asignar responsables a l</w:t>
      </w:r>
      <w:r w:rsidR="00725B4D" w:rsidRPr="00725B4D">
        <w:rPr>
          <w:rFonts w:ascii="Arial" w:hAnsi="Arial" w:cs="Arial"/>
          <w:sz w:val="22"/>
          <w:szCs w:val="22"/>
        </w:rPr>
        <w:t>os usuarios propios del sistema</w:t>
      </w:r>
    </w:p>
    <w:p w:rsidR="00B15535" w:rsidRPr="00725B4D" w:rsidRDefault="00B15535" w:rsidP="00725B4D">
      <w:pPr>
        <w:pStyle w:val="NormalWeb"/>
        <w:numPr>
          <w:ilvl w:val="0"/>
          <w:numId w:val="18"/>
        </w:numPr>
        <w:ind w:left="426" w:hanging="426"/>
        <w:rPr>
          <w:rFonts w:ascii="Arial" w:hAnsi="Arial" w:cs="Arial"/>
          <w:sz w:val="22"/>
          <w:szCs w:val="22"/>
        </w:rPr>
      </w:pPr>
      <w:r w:rsidRPr="00725B4D">
        <w:rPr>
          <w:rFonts w:ascii="Arial" w:hAnsi="Arial" w:cs="Arial"/>
          <w:sz w:val="22"/>
          <w:szCs w:val="22"/>
        </w:rPr>
        <w:t>Establecer la necesidad de mantener usuarios genéricos o bloquearlos. En caso de requerirse deben están asignados a un responsable y estar documentados.</w:t>
      </w:r>
    </w:p>
    <w:p w:rsidR="00B15535" w:rsidRPr="00725B4D" w:rsidRDefault="00B15535" w:rsidP="00725B4D">
      <w:pPr>
        <w:pStyle w:val="NormalWeb"/>
        <w:numPr>
          <w:ilvl w:val="0"/>
          <w:numId w:val="18"/>
        </w:numPr>
        <w:ind w:left="426" w:hanging="426"/>
        <w:rPr>
          <w:rFonts w:ascii="Arial" w:hAnsi="Arial" w:cs="Arial"/>
          <w:sz w:val="22"/>
          <w:szCs w:val="22"/>
        </w:rPr>
      </w:pPr>
      <w:r w:rsidRPr="00725B4D">
        <w:rPr>
          <w:rFonts w:ascii="Arial" w:hAnsi="Arial" w:cs="Arial"/>
          <w:sz w:val="22"/>
          <w:szCs w:val="22"/>
        </w:rPr>
        <w:t>Establecer, con el apoyo de Seguridad de la Información los  lineamientos para el manejo de usuarios genéricos y usuarios del sistema para los cuales se defina responsables y estar debidamente documentados e incluirlos en el monitoreo (log de auditoría).</w:t>
      </w:r>
    </w:p>
    <w:p w:rsidR="000E653B" w:rsidRPr="00725B4D" w:rsidRDefault="00B15535" w:rsidP="00725B4D">
      <w:pPr>
        <w:pStyle w:val="NormalWeb"/>
        <w:numPr>
          <w:ilvl w:val="0"/>
          <w:numId w:val="18"/>
        </w:numPr>
        <w:ind w:left="426" w:hanging="426"/>
        <w:rPr>
          <w:rFonts w:ascii="Arial" w:hAnsi="Arial" w:cs="Arial"/>
          <w:sz w:val="22"/>
          <w:szCs w:val="22"/>
        </w:rPr>
      </w:pPr>
      <w:r w:rsidRPr="00725B4D">
        <w:rPr>
          <w:rFonts w:ascii="Arial" w:hAnsi="Arial" w:cs="Arial"/>
          <w:sz w:val="22"/>
          <w:szCs w:val="22"/>
        </w:rPr>
        <w:t>Revisar los usuarios que presentan diferencias en el campo nombre con Directorio Activo y unificarlos.</w:t>
      </w:r>
    </w:p>
    <w:p w:rsidR="00B15535" w:rsidRPr="00725B4D" w:rsidRDefault="00B15535" w:rsidP="00946A4E">
      <w:pPr>
        <w:jc w:val="both"/>
        <w:rPr>
          <w:rFonts w:ascii="Arial" w:hAnsi="Arial" w:cs="Arial"/>
          <w:sz w:val="24"/>
          <w:szCs w:val="24"/>
          <w:lang w:val="es-ES"/>
        </w:rPr>
      </w:pPr>
      <w:r w:rsidRPr="00725B4D">
        <w:rPr>
          <w:rFonts w:ascii="Arial" w:hAnsi="Arial" w:cs="Arial"/>
          <w:sz w:val="24"/>
          <w:szCs w:val="24"/>
          <w:lang w:val="es-ES"/>
        </w:rPr>
        <w:t>Se recomienda considerar en la metodología de riesgos y oportunidades de la EAAB -ESP, incluir como punto de partida los activos involucrados en cada uno de los procesos para la identificación del riesgo o los riesgos, como se indica en la Guía Administración de riesgos de gestión, Corrupción, Seguridad Digital y Diseño de Controles.</w:t>
      </w:r>
    </w:p>
    <w:p w:rsidR="008A5C27" w:rsidRPr="00725B4D" w:rsidRDefault="00B15535" w:rsidP="00946A4E">
      <w:pPr>
        <w:jc w:val="both"/>
        <w:rPr>
          <w:rFonts w:ascii="Arial" w:hAnsi="Arial" w:cs="Arial"/>
          <w:sz w:val="24"/>
          <w:szCs w:val="24"/>
          <w:lang w:val="es-ES"/>
        </w:rPr>
      </w:pPr>
      <w:r w:rsidRPr="00725B4D">
        <w:rPr>
          <w:rFonts w:ascii="Arial" w:hAnsi="Arial" w:cs="Arial"/>
          <w:sz w:val="24"/>
          <w:szCs w:val="24"/>
          <w:lang w:val="es-ES"/>
        </w:rPr>
        <w:t>La identificación de los activos involucrados en el proceso es el punto de partida para identificar los riesgos a los cuales está expuesto el proceso dando mayor cobertura a todos los posibles escenarios de riesgo, las causas generadoras de riesgo, valoración de la probabilidad e impacto y la identificación de los controles preventivos, detectivos y correctivos y la calificación del diseño y la solidez del mismo para la mitigación del riesgo.</w:t>
      </w:r>
    </w:p>
    <w:p w:rsidR="00725B4D" w:rsidRPr="00725B4D" w:rsidRDefault="0072305B" w:rsidP="00725B4D">
      <w:pPr>
        <w:spacing w:line="276" w:lineRule="auto"/>
        <w:jc w:val="both"/>
        <w:rPr>
          <w:rFonts w:ascii="Calibri" w:hAnsi="Calibri" w:cs="Calibri"/>
          <w:b/>
          <w:sz w:val="28"/>
          <w:szCs w:val="28"/>
        </w:rPr>
      </w:pPr>
      <w:r>
        <w:rPr>
          <w:rFonts w:ascii="Calibri" w:hAnsi="Calibri" w:cs="Calibri"/>
          <w:b/>
          <w:sz w:val="28"/>
          <w:szCs w:val="28"/>
        </w:rPr>
        <w:t>5.</w:t>
      </w:r>
      <w:r w:rsidR="007010B1" w:rsidRPr="00725B4D">
        <w:rPr>
          <w:rFonts w:ascii="Calibri" w:hAnsi="Calibri" w:cs="Calibri"/>
          <w:b/>
          <w:sz w:val="28"/>
          <w:szCs w:val="28"/>
        </w:rPr>
        <w:t>12</w:t>
      </w:r>
      <w:r w:rsidR="003809ED" w:rsidRPr="00725B4D">
        <w:rPr>
          <w:rFonts w:ascii="Calibri" w:hAnsi="Calibri" w:cs="Calibri"/>
          <w:b/>
          <w:sz w:val="28"/>
          <w:szCs w:val="28"/>
        </w:rPr>
        <w:t>-Informe de auditoría Controles Generales TI SAP seguridad</w:t>
      </w:r>
    </w:p>
    <w:p w:rsidR="003809ED" w:rsidRPr="00725B4D" w:rsidRDefault="003809ED" w:rsidP="00725B4D">
      <w:pPr>
        <w:jc w:val="both"/>
        <w:rPr>
          <w:rFonts w:ascii="Arial" w:hAnsi="Arial" w:cs="Arial"/>
          <w:sz w:val="24"/>
          <w:szCs w:val="24"/>
          <w:lang w:val="es-ES"/>
        </w:rPr>
      </w:pPr>
      <w:r w:rsidRPr="00725B4D">
        <w:rPr>
          <w:rFonts w:ascii="Arial" w:hAnsi="Arial" w:cs="Arial"/>
          <w:sz w:val="24"/>
          <w:szCs w:val="24"/>
          <w:lang w:val="es-ES"/>
        </w:rPr>
        <w:t>Resultado de la evaluación de controles generales de TI – SAP Seguridad, se identificaron observaciones y oportunidades de mejora relacionados con temas como: gestión de riesgos, mantenimiento de usuarios, monitoreo y revisión de Logs de auditoría, fechas de expiración cuentas de usuario, unificación de información de procedimientos y manuales, actualización de la matriz de roles.</w:t>
      </w:r>
    </w:p>
    <w:p w:rsidR="003809ED" w:rsidRPr="00725B4D" w:rsidRDefault="003809ED" w:rsidP="003809ED">
      <w:pPr>
        <w:jc w:val="both"/>
        <w:rPr>
          <w:rFonts w:ascii="Arial" w:hAnsi="Arial" w:cs="Arial"/>
          <w:sz w:val="24"/>
          <w:szCs w:val="24"/>
          <w:lang w:val="es-ES"/>
        </w:rPr>
      </w:pPr>
      <w:r w:rsidRPr="00725B4D">
        <w:rPr>
          <w:rFonts w:ascii="Arial" w:hAnsi="Arial" w:cs="Arial"/>
          <w:sz w:val="24"/>
          <w:szCs w:val="24"/>
          <w:lang w:val="es-ES"/>
        </w:rPr>
        <w:t>A continuación, se presentan las</w:t>
      </w:r>
      <w:r w:rsidR="00725B4D">
        <w:rPr>
          <w:rFonts w:ascii="Arial" w:hAnsi="Arial" w:cs="Arial"/>
          <w:sz w:val="24"/>
          <w:szCs w:val="24"/>
          <w:lang w:val="es-ES"/>
        </w:rPr>
        <w:t xml:space="preserve"> conclusiones de la evaluación:</w:t>
      </w:r>
    </w:p>
    <w:p w:rsidR="003809ED" w:rsidRPr="003809ED" w:rsidRDefault="003809ED" w:rsidP="00725B4D">
      <w:pPr>
        <w:pStyle w:val="Prrafodelista"/>
        <w:numPr>
          <w:ilvl w:val="0"/>
          <w:numId w:val="15"/>
        </w:numPr>
        <w:autoSpaceDE w:val="0"/>
        <w:autoSpaceDN w:val="0"/>
        <w:adjustRightInd w:val="0"/>
        <w:spacing w:after="0" w:line="275" w:lineRule="auto"/>
        <w:ind w:left="426" w:hanging="426"/>
        <w:contextualSpacing w:val="0"/>
        <w:jc w:val="both"/>
        <w:rPr>
          <w:rFonts w:ascii="Arial" w:hAnsi="Arial" w:cs="Arial"/>
          <w:i/>
          <w:iCs/>
        </w:rPr>
      </w:pPr>
      <w:proofErr w:type="spellStart"/>
      <w:r w:rsidRPr="001C029E">
        <w:rPr>
          <w:rFonts w:ascii="Arial" w:hAnsi="Arial" w:cs="Arial"/>
          <w:i/>
          <w:iCs/>
        </w:rPr>
        <w:t>Basis</w:t>
      </w:r>
      <w:proofErr w:type="spellEnd"/>
    </w:p>
    <w:p w:rsidR="003809ED" w:rsidRPr="001C029E" w:rsidRDefault="003809ED" w:rsidP="003809ED">
      <w:pPr>
        <w:jc w:val="both"/>
        <w:rPr>
          <w:rFonts w:ascii="Arial" w:hAnsi="Arial" w:cs="Arial"/>
        </w:rPr>
      </w:pPr>
      <w:r w:rsidRPr="001C029E">
        <w:rPr>
          <w:rFonts w:ascii="Arial" w:hAnsi="Arial" w:cs="Arial"/>
        </w:rPr>
        <w:t>Resultado de la evaluación de controles de seguridad aplicados en el sistema de información SAP se concluy</w:t>
      </w:r>
      <w:r w:rsidR="00B914E9">
        <w:rPr>
          <w:rFonts w:ascii="Arial" w:hAnsi="Arial" w:cs="Arial"/>
        </w:rPr>
        <w:t>ó</w:t>
      </w:r>
      <w:r w:rsidRPr="001C029E">
        <w:rPr>
          <w:rFonts w:ascii="Arial" w:hAnsi="Arial" w:cs="Arial"/>
        </w:rPr>
        <w:t xml:space="preserve"> que la gestión de administración del sistema es realizada por personal de la EAAB y personal experto de SONDA, este año se desarrollaron y aplicaron líneas base de seguridad en el sistema operativo, bases de datos y aplicación, actividades que fortalecen el aseguramiento y protección de los recursos informáticos. En el desarrollo de las pruebas de controles de seguridad se identificaron observaciones que se presenta</w:t>
      </w:r>
      <w:r w:rsidR="002E3BEC">
        <w:rPr>
          <w:rFonts w:ascii="Arial" w:hAnsi="Arial" w:cs="Arial"/>
        </w:rPr>
        <w:t>ron</w:t>
      </w:r>
      <w:r w:rsidRPr="001C029E">
        <w:rPr>
          <w:rFonts w:ascii="Arial" w:hAnsi="Arial" w:cs="Arial"/>
        </w:rPr>
        <w:t xml:space="preserve"> en</w:t>
      </w:r>
      <w:r w:rsidR="002E3BEC">
        <w:rPr>
          <w:rFonts w:ascii="Arial" w:hAnsi="Arial" w:cs="Arial"/>
        </w:rPr>
        <w:t xml:space="preserve"> el</w:t>
      </w:r>
      <w:r w:rsidRPr="001C029E">
        <w:rPr>
          <w:rFonts w:ascii="Arial" w:hAnsi="Arial" w:cs="Arial"/>
        </w:rPr>
        <w:t xml:space="preserve"> informe.</w:t>
      </w:r>
    </w:p>
    <w:p w:rsidR="003809ED" w:rsidRPr="003809ED" w:rsidRDefault="003809ED" w:rsidP="00725B4D">
      <w:pPr>
        <w:pStyle w:val="Prrafodelista"/>
        <w:numPr>
          <w:ilvl w:val="0"/>
          <w:numId w:val="15"/>
        </w:numPr>
        <w:autoSpaceDE w:val="0"/>
        <w:autoSpaceDN w:val="0"/>
        <w:adjustRightInd w:val="0"/>
        <w:spacing w:after="0" w:line="275" w:lineRule="auto"/>
        <w:ind w:left="426" w:hanging="426"/>
        <w:contextualSpacing w:val="0"/>
        <w:jc w:val="both"/>
        <w:rPr>
          <w:rFonts w:ascii="Arial" w:hAnsi="Arial" w:cs="Arial"/>
          <w:i/>
          <w:iCs/>
        </w:rPr>
      </w:pPr>
      <w:r>
        <w:rPr>
          <w:rFonts w:ascii="Arial" w:hAnsi="Arial" w:cs="Arial"/>
          <w:i/>
          <w:iCs/>
        </w:rPr>
        <w:t>Gestión de usuarios</w:t>
      </w:r>
    </w:p>
    <w:p w:rsidR="003809ED" w:rsidRPr="001C029E" w:rsidRDefault="003809ED" w:rsidP="003809ED">
      <w:pPr>
        <w:jc w:val="both"/>
        <w:rPr>
          <w:rFonts w:ascii="Arial" w:hAnsi="Arial" w:cs="Arial"/>
        </w:rPr>
      </w:pPr>
      <w:r w:rsidRPr="001C029E">
        <w:rPr>
          <w:rFonts w:ascii="Arial" w:hAnsi="Arial" w:cs="Arial"/>
        </w:rPr>
        <w:t>Resultado de la evaluación del proceso de gestión de usuarios se concluy</w:t>
      </w:r>
      <w:r w:rsidR="00B914E9">
        <w:rPr>
          <w:rFonts w:ascii="Arial" w:hAnsi="Arial" w:cs="Arial"/>
        </w:rPr>
        <w:t>ó</w:t>
      </w:r>
      <w:r w:rsidRPr="001C029E">
        <w:rPr>
          <w:rFonts w:ascii="Arial" w:hAnsi="Arial" w:cs="Arial"/>
        </w:rPr>
        <w:t xml:space="preserve"> que la aplicación del procedimiento registra toda novedad de creación, modificación, inactivación o bloqueo de cuenta de un usuario en el sistema de información SAP, que se surte a través de la solicitud que realizan los directivos de cada área mediante el diligenciamiento del formulario de solicitud disponible en la herramienta SIMI. Así mismo, se realiza seguimiento a los usuarios que no han tenido actividad en el sistema por más de 60 días, los cuales quedan en estado de cuarentena y se le informa al jefe o supervisor del usuario para que notifique la novedad sobre este usuario, de no tener respuesta pasa a estado “borrado” quedando inactivo. Sin embargo, en las pruebas realizadas se identificaron situaciones que son objeto de revisión por parte de la Gerencia de TI</w:t>
      </w:r>
      <w:r w:rsidR="00725B4D">
        <w:rPr>
          <w:rFonts w:ascii="Arial" w:hAnsi="Arial" w:cs="Arial"/>
        </w:rPr>
        <w:t>.</w:t>
      </w:r>
    </w:p>
    <w:p w:rsidR="003809ED" w:rsidRPr="003809ED" w:rsidRDefault="003809ED" w:rsidP="00725B4D">
      <w:pPr>
        <w:pStyle w:val="Prrafodelista"/>
        <w:numPr>
          <w:ilvl w:val="0"/>
          <w:numId w:val="15"/>
        </w:numPr>
        <w:autoSpaceDE w:val="0"/>
        <w:autoSpaceDN w:val="0"/>
        <w:adjustRightInd w:val="0"/>
        <w:spacing w:after="0" w:line="275" w:lineRule="auto"/>
        <w:ind w:left="426" w:hanging="426"/>
        <w:contextualSpacing w:val="0"/>
        <w:jc w:val="both"/>
        <w:rPr>
          <w:rFonts w:ascii="Arial" w:hAnsi="Arial" w:cs="Arial"/>
          <w:i/>
          <w:iCs/>
        </w:rPr>
      </w:pPr>
      <w:r w:rsidRPr="001C029E">
        <w:rPr>
          <w:rFonts w:ascii="Arial" w:hAnsi="Arial" w:cs="Arial"/>
          <w:i/>
          <w:iCs/>
        </w:rPr>
        <w:t>Gestión de cambios</w:t>
      </w:r>
    </w:p>
    <w:p w:rsidR="003809ED" w:rsidRPr="001C029E" w:rsidRDefault="003809ED" w:rsidP="003809ED">
      <w:pPr>
        <w:jc w:val="both"/>
        <w:rPr>
          <w:rFonts w:ascii="Arial" w:hAnsi="Arial" w:cs="Arial"/>
        </w:rPr>
      </w:pPr>
      <w:r w:rsidRPr="001C029E">
        <w:rPr>
          <w:rFonts w:ascii="Arial" w:hAnsi="Arial" w:cs="Arial"/>
        </w:rPr>
        <w:t>Resultado de la evaluación del proceso de gestión de cambios se concluy</w:t>
      </w:r>
      <w:r w:rsidR="00B914E9">
        <w:rPr>
          <w:rFonts w:ascii="Arial" w:hAnsi="Arial" w:cs="Arial"/>
        </w:rPr>
        <w:t>ó</w:t>
      </w:r>
      <w:r w:rsidRPr="001C029E">
        <w:rPr>
          <w:rFonts w:ascii="Arial" w:hAnsi="Arial" w:cs="Arial"/>
        </w:rPr>
        <w:t xml:space="preserve"> que los procedimientos empleados por la DSIE y la DSI y los controles definidos permiten asegurar que los cambios efectuados al sistema de información y la infraestructura tecnológica que soporta los procesos de SAP son probados, aprobados y autorizados para paso a producción, mitigando los riesgos de estabilidad o integridad en el ambiente de producción.</w:t>
      </w:r>
    </w:p>
    <w:p w:rsidR="003809ED" w:rsidRPr="003809ED" w:rsidRDefault="003809ED" w:rsidP="0013384D">
      <w:pPr>
        <w:pStyle w:val="Prrafodelista"/>
        <w:numPr>
          <w:ilvl w:val="0"/>
          <w:numId w:val="15"/>
        </w:numPr>
        <w:autoSpaceDE w:val="0"/>
        <w:autoSpaceDN w:val="0"/>
        <w:adjustRightInd w:val="0"/>
        <w:spacing w:after="0" w:line="275" w:lineRule="auto"/>
        <w:ind w:left="426" w:hanging="426"/>
        <w:contextualSpacing w:val="0"/>
        <w:jc w:val="both"/>
        <w:rPr>
          <w:rFonts w:ascii="Arial" w:hAnsi="Arial" w:cs="Arial"/>
          <w:i/>
          <w:iCs/>
        </w:rPr>
      </w:pPr>
      <w:r w:rsidRPr="001C029E">
        <w:rPr>
          <w:rFonts w:ascii="Arial" w:hAnsi="Arial" w:cs="Arial"/>
          <w:i/>
          <w:iCs/>
        </w:rPr>
        <w:t>Gestión de roles y perfiles</w:t>
      </w:r>
    </w:p>
    <w:p w:rsidR="003809ED" w:rsidRPr="001C029E" w:rsidRDefault="003809ED" w:rsidP="003809ED">
      <w:pPr>
        <w:jc w:val="both"/>
        <w:rPr>
          <w:rFonts w:ascii="Arial" w:hAnsi="Arial" w:cs="Arial"/>
        </w:rPr>
      </w:pPr>
      <w:r w:rsidRPr="001C029E">
        <w:rPr>
          <w:rFonts w:ascii="Arial" w:hAnsi="Arial" w:cs="Arial"/>
        </w:rPr>
        <w:t>Resultado de la evaluación del proceso de gestión de roles y perfiles se concluy</w:t>
      </w:r>
      <w:r w:rsidR="00B914E9">
        <w:rPr>
          <w:rFonts w:ascii="Arial" w:hAnsi="Arial" w:cs="Arial"/>
        </w:rPr>
        <w:t>ó</w:t>
      </w:r>
      <w:r w:rsidRPr="001C029E">
        <w:rPr>
          <w:rFonts w:ascii="Arial" w:hAnsi="Arial" w:cs="Arial"/>
        </w:rPr>
        <w:t xml:space="preserve"> que los procedimientos definidos por la DSIE y la DSI para el análisis, definición y diseño de los roles están siendo ejecutados</w:t>
      </w:r>
      <w:r w:rsidR="0013384D">
        <w:rPr>
          <w:rFonts w:ascii="Arial" w:hAnsi="Arial" w:cs="Arial"/>
        </w:rPr>
        <w:t>.</w:t>
      </w:r>
      <w:r w:rsidRPr="001C029E">
        <w:rPr>
          <w:rFonts w:ascii="Arial" w:hAnsi="Arial" w:cs="Arial"/>
        </w:rPr>
        <w:t xml:space="preserve"> La responsabilidad de la asignación de permisos a las cuentas de usuario están a cargo del jefe de área, previamente entre las áreas y la Gerencia de TI – DSIE, DSI, se establecieron los roles asignados a cada una y esos permisos son los que están visibles en SIMI</w:t>
      </w:r>
      <w:r w:rsidR="0013384D">
        <w:rPr>
          <w:rFonts w:ascii="Arial" w:hAnsi="Arial" w:cs="Arial"/>
        </w:rPr>
        <w:t>.</w:t>
      </w:r>
      <w:r w:rsidRPr="001C029E">
        <w:rPr>
          <w:rFonts w:ascii="Arial" w:hAnsi="Arial" w:cs="Arial"/>
        </w:rPr>
        <w:t xml:space="preserve"> Así mismo, se cuenta con una matriz de roles que define los permisos y privilegios asignados para acceso de los usuarios al sistema de información. Sin embargo, en la revisión de la matriz de roles y los roles asignados a los usuarios SAP se identificaron observaciones que son presentadas en este informe.</w:t>
      </w:r>
    </w:p>
    <w:p w:rsidR="003809ED" w:rsidRPr="0013384D" w:rsidRDefault="0072305B" w:rsidP="0013384D">
      <w:pPr>
        <w:spacing w:line="276" w:lineRule="auto"/>
        <w:jc w:val="both"/>
        <w:rPr>
          <w:rFonts w:ascii="Calibri" w:hAnsi="Calibri" w:cs="Calibri"/>
          <w:b/>
          <w:sz w:val="28"/>
          <w:szCs w:val="28"/>
        </w:rPr>
      </w:pPr>
      <w:r>
        <w:rPr>
          <w:rFonts w:ascii="Calibri" w:hAnsi="Calibri" w:cs="Calibri"/>
          <w:b/>
          <w:sz w:val="28"/>
          <w:szCs w:val="28"/>
        </w:rPr>
        <w:t>5.</w:t>
      </w:r>
      <w:r w:rsidR="0013384D" w:rsidRPr="0013384D">
        <w:rPr>
          <w:rFonts w:ascii="Calibri" w:hAnsi="Calibri" w:cs="Calibri"/>
          <w:b/>
          <w:sz w:val="28"/>
          <w:szCs w:val="28"/>
        </w:rPr>
        <w:t>13</w:t>
      </w:r>
      <w:r w:rsidR="0013384D">
        <w:rPr>
          <w:rFonts w:ascii="Calibri" w:hAnsi="Calibri" w:cs="Calibri"/>
          <w:b/>
          <w:sz w:val="28"/>
          <w:szCs w:val="28"/>
        </w:rPr>
        <w:t>-</w:t>
      </w:r>
      <w:r w:rsidR="006A3165" w:rsidRPr="0013384D">
        <w:rPr>
          <w:rFonts w:ascii="Calibri" w:hAnsi="Calibri" w:cs="Calibri"/>
          <w:b/>
          <w:sz w:val="28"/>
          <w:szCs w:val="28"/>
        </w:rPr>
        <w:t xml:space="preserve">Informe </w:t>
      </w:r>
      <w:r w:rsidR="0013384D">
        <w:rPr>
          <w:rFonts w:ascii="Calibri" w:hAnsi="Calibri" w:cs="Calibri"/>
          <w:b/>
          <w:sz w:val="28"/>
          <w:szCs w:val="28"/>
        </w:rPr>
        <w:t>d</w:t>
      </w:r>
      <w:r w:rsidR="006A3165" w:rsidRPr="0013384D">
        <w:rPr>
          <w:rFonts w:ascii="Calibri" w:hAnsi="Calibri" w:cs="Calibri"/>
          <w:b/>
          <w:sz w:val="28"/>
          <w:szCs w:val="28"/>
        </w:rPr>
        <w:t>e seguimiento a la Gestión de los planes de mejoramiento producto de las auditorías Internas</w:t>
      </w:r>
    </w:p>
    <w:p w:rsidR="0013384D" w:rsidRDefault="006A3165" w:rsidP="0013384D">
      <w:pPr>
        <w:jc w:val="both"/>
        <w:rPr>
          <w:rFonts w:ascii="Arial" w:hAnsi="Arial" w:cs="Arial"/>
          <w:sz w:val="24"/>
          <w:szCs w:val="24"/>
          <w:lang w:val="es-ES"/>
        </w:rPr>
      </w:pPr>
      <w:r w:rsidRPr="0013384D">
        <w:rPr>
          <w:rFonts w:ascii="Arial" w:hAnsi="Arial" w:cs="Arial"/>
          <w:sz w:val="24"/>
          <w:szCs w:val="24"/>
          <w:lang w:val="es-ES"/>
        </w:rPr>
        <w:t>La OCIG adelantó 4 seguimientos en la vigencia 2019 a la gestión de los planes de mejoramiento producto de las auditorías internas y externas. En cada periodo se presentaron los informes del seguimiento tanto a la Gerencia general como a las áreas responsables de la ejecución y cumplimiento; este ejercicio permitió generar alertas tempranas y efectuar acompañamiento en cada caso.</w:t>
      </w:r>
    </w:p>
    <w:p w:rsidR="006A3165" w:rsidRPr="0013384D" w:rsidRDefault="006A3165" w:rsidP="0013384D">
      <w:pPr>
        <w:jc w:val="both"/>
        <w:rPr>
          <w:rFonts w:ascii="Arial" w:hAnsi="Arial" w:cs="Arial"/>
          <w:sz w:val="24"/>
          <w:szCs w:val="24"/>
          <w:lang w:val="es-ES"/>
        </w:rPr>
      </w:pPr>
      <w:r w:rsidRPr="0013384D">
        <w:rPr>
          <w:rFonts w:ascii="Arial" w:hAnsi="Arial" w:cs="Arial"/>
          <w:sz w:val="24"/>
          <w:szCs w:val="24"/>
          <w:lang w:val="es-ES"/>
        </w:rPr>
        <w:t>Los resultados del último seguimiento, registraron lo siguiente:</w:t>
      </w:r>
    </w:p>
    <w:p w:rsidR="003809ED" w:rsidRPr="001C029E" w:rsidRDefault="006A3165" w:rsidP="001C0F52">
      <w:pPr>
        <w:autoSpaceDE w:val="0"/>
        <w:autoSpaceDN w:val="0"/>
        <w:adjustRightInd w:val="0"/>
        <w:jc w:val="center"/>
        <w:rPr>
          <w:rFonts w:ascii="Arial" w:hAnsi="Arial" w:cs="Arial"/>
          <w:b/>
        </w:rPr>
      </w:pPr>
      <w:r>
        <w:rPr>
          <w:noProof/>
          <w:lang w:eastAsia="es-CO"/>
        </w:rPr>
        <w:drawing>
          <wp:inline distT="0" distB="0" distL="0" distR="0" wp14:anchorId="6DAD8F15" wp14:editId="3657062D">
            <wp:extent cx="4297604" cy="2086197"/>
            <wp:effectExtent l="19050" t="19050" r="27305" b="9525"/>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4356454" cy="2114765"/>
                    </a:xfrm>
                    <a:prstGeom prst="rect">
                      <a:avLst/>
                    </a:prstGeom>
                    <a:noFill/>
                    <a:ln w="25400" cmpd="dbl">
                      <a:solidFill>
                        <a:sysClr val="windowText" lastClr="000000"/>
                      </a:solidFill>
                    </a:ln>
                  </pic:spPr>
                </pic:pic>
              </a:graphicData>
            </a:graphic>
          </wp:inline>
        </w:drawing>
      </w:r>
    </w:p>
    <w:p w:rsidR="006A3165" w:rsidRPr="0013384D" w:rsidRDefault="006A3165" w:rsidP="0013384D">
      <w:pPr>
        <w:jc w:val="both"/>
        <w:rPr>
          <w:rFonts w:ascii="Arial" w:hAnsi="Arial" w:cs="Arial"/>
          <w:sz w:val="24"/>
          <w:szCs w:val="24"/>
          <w:lang w:val="es-ES"/>
        </w:rPr>
      </w:pPr>
      <w:r w:rsidRPr="0013384D">
        <w:rPr>
          <w:rFonts w:ascii="Arial" w:hAnsi="Arial" w:cs="Arial"/>
          <w:sz w:val="24"/>
          <w:szCs w:val="24"/>
          <w:lang w:val="es-ES"/>
        </w:rPr>
        <w:t>En forma acumulada durante el periodo de marzo 2018 a septiembre de 2019, se logró un aumento del 4 % en la gestión de cierre de observaciones, pasando del 84% al 88% (239 cerrados de 272), mientras que en acciones correctivas y debido a la entrada de 26 líneas correctivas, se mantuvo la gestión del corte a junio es decir del 90% (546 acciones cerradas de 606).</w:t>
      </w:r>
    </w:p>
    <w:p w:rsidR="00DF57B9" w:rsidRPr="0013384D" w:rsidRDefault="0072305B" w:rsidP="0013384D">
      <w:pPr>
        <w:spacing w:line="276" w:lineRule="auto"/>
        <w:jc w:val="both"/>
        <w:rPr>
          <w:rFonts w:ascii="Calibri" w:hAnsi="Calibri" w:cs="Calibri"/>
          <w:b/>
          <w:sz w:val="28"/>
          <w:szCs w:val="28"/>
        </w:rPr>
      </w:pPr>
      <w:r>
        <w:rPr>
          <w:rFonts w:ascii="Calibri" w:hAnsi="Calibri" w:cs="Calibri"/>
          <w:b/>
          <w:sz w:val="28"/>
          <w:szCs w:val="28"/>
        </w:rPr>
        <w:t>5.</w:t>
      </w:r>
      <w:r w:rsidR="0013384D" w:rsidRPr="0013384D">
        <w:rPr>
          <w:rFonts w:ascii="Calibri" w:hAnsi="Calibri" w:cs="Calibri"/>
          <w:b/>
          <w:sz w:val="28"/>
          <w:szCs w:val="28"/>
        </w:rPr>
        <w:t>14-</w:t>
      </w:r>
      <w:r w:rsidR="00DF57B9" w:rsidRPr="0013384D">
        <w:rPr>
          <w:rFonts w:ascii="Calibri" w:hAnsi="Calibri" w:cs="Calibri"/>
          <w:b/>
          <w:sz w:val="28"/>
          <w:szCs w:val="28"/>
        </w:rPr>
        <w:t>Seguimiento planes de mejoramiento Contral</w:t>
      </w:r>
      <w:r w:rsidR="0013384D">
        <w:rPr>
          <w:rFonts w:ascii="Calibri" w:hAnsi="Calibri" w:cs="Calibri"/>
          <w:b/>
          <w:sz w:val="28"/>
          <w:szCs w:val="28"/>
        </w:rPr>
        <w:t>oría de Bogotá y CGR a 31-12-19</w:t>
      </w:r>
    </w:p>
    <w:p w:rsidR="00DF57B9" w:rsidRPr="0013384D" w:rsidRDefault="00DF57B9" w:rsidP="0013384D">
      <w:pPr>
        <w:jc w:val="both"/>
        <w:rPr>
          <w:rFonts w:ascii="Arial" w:hAnsi="Arial" w:cs="Arial"/>
          <w:sz w:val="24"/>
          <w:szCs w:val="24"/>
          <w:lang w:val="es-ES"/>
        </w:rPr>
      </w:pPr>
      <w:r w:rsidRPr="0013384D">
        <w:rPr>
          <w:rFonts w:ascii="Arial" w:hAnsi="Arial" w:cs="Arial"/>
          <w:sz w:val="24"/>
          <w:szCs w:val="24"/>
          <w:lang w:val="es-ES"/>
        </w:rPr>
        <w:t xml:space="preserve">Esta Oficina, atendiendo lo dispuesto de la Resolución Reglamentaria 036 </w:t>
      </w:r>
      <w:r w:rsidR="0013384D" w:rsidRPr="0013384D">
        <w:rPr>
          <w:rFonts w:ascii="Arial" w:hAnsi="Arial" w:cs="Arial"/>
          <w:sz w:val="24"/>
          <w:szCs w:val="24"/>
          <w:lang w:val="es-ES"/>
        </w:rPr>
        <w:t xml:space="preserve">de </w:t>
      </w:r>
      <w:r w:rsidRPr="0013384D">
        <w:rPr>
          <w:rFonts w:ascii="Arial" w:hAnsi="Arial" w:cs="Arial"/>
          <w:sz w:val="24"/>
          <w:szCs w:val="24"/>
          <w:lang w:val="es-ES"/>
        </w:rPr>
        <w:t>2019, la cual Establece los parámetros para la elaboración, modificación, seguimiento, reporte y evaluación del plan de mejoramiento que suscriban los sujetos de vigilancia y control fiscal de la Contraloría de Bogotá, D.C., derivado de las auditorías de regularidad, desempeño, visita de control fiscal y auditoría a los Estados Contables Consolidados del Sector Público Distrital, Gobierno y Bogotá D.C., registr</w:t>
      </w:r>
      <w:r w:rsidR="0013384D">
        <w:rPr>
          <w:rFonts w:ascii="Arial" w:hAnsi="Arial" w:cs="Arial"/>
          <w:sz w:val="24"/>
          <w:szCs w:val="24"/>
          <w:lang w:val="es-ES"/>
        </w:rPr>
        <w:t>ó</w:t>
      </w:r>
      <w:r w:rsidRPr="0013384D">
        <w:rPr>
          <w:rFonts w:ascii="Arial" w:hAnsi="Arial" w:cs="Arial"/>
          <w:sz w:val="24"/>
          <w:szCs w:val="24"/>
          <w:lang w:val="es-ES"/>
        </w:rPr>
        <w:t xml:space="preserve"> los siguientes resultados:</w:t>
      </w:r>
    </w:p>
    <w:p w:rsidR="00374D19" w:rsidRPr="00374D19" w:rsidRDefault="00374D19" w:rsidP="00374D19">
      <w:pPr>
        <w:spacing w:after="0" w:line="240" w:lineRule="auto"/>
        <w:ind w:left="-426"/>
        <w:jc w:val="both"/>
        <w:rPr>
          <w:rFonts w:ascii="Arial" w:eastAsia="Times New Roman" w:hAnsi="Arial" w:cs="Arial"/>
          <w:lang w:val="es-ES_tradnl" w:eastAsia="es-ES"/>
        </w:rPr>
      </w:pPr>
    </w:p>
    <w:p w:rsidR="00A94060" w:rsidRPr="00A94060" w:rsidRDefault="002B7C59" w:rsidP="00A94060">
      <w:pPr>
        <w:jc w:val="both"/>
        <w:rPr>
          <w:rFonts w:ascii="Arial" w:hAnsi="Arial" w:cs="Arial"/>
          <w:b/>
          <w:sz w:val="24"/>
          <w:szCs w:val="24"/>
          <w:lang w:val="es-ES"/>
        </w:rPr>
      </w:pPr>
      <w:r>
        <w:rPr>
          <w:rFonts w:ascii="Arial" w:hAnsi="Arial" w:cs="Arial"/>
          <w:noProof/>
          <w:lang w:eastAsia="es-CO"/>
        </w:rPr>
        <w:drawing>
          <wp:inline distT="0" distB="0" distL="0" distR="0" wp14:anchorId="221F4D8B" wp14:editId="25EE85FE">
            <wp:extent cx="5612130" cy="3018209"/>
            <wp:effectExtent l="0" t="0" r="762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612130" cy="3018209"/>
                    </a:xfrm>
                    <a:prstGeom prst="rect">
                      <a:avLst/>
                    </a:prstGeom>
                    <a:noFill/>
                  </pic:spPr>
                </pic:pic>
              </a:graphicData>
            </a:graphic>
          </wp:inline>
        </w:drawing>
      </w:r>
    </w:p>
    <w:p w:rsidR="00DF57B9" w:rsidRPr="00DF57B9" w:rsidRDefault="00DF57B9" w:rsidP="00DF57B9">
      <w:pPr>
        <w:spacing w:after="0" w:line="240" w:lineRule="auto"/>
        <w:ind w:left="-142"/>
        <w:jc w:val="center"/>
        <w:rPr>
          <w:rFonts w:ascii="Arial" w:eastAsia="Times New Roman" w:hAnsi="Arial" w:cs="Arial"/>
          <w:sz w:val="16"/>
          <w:lang w:eastAsia="es-ES"/>
        </w:rPr>
      </w:pPr>
      <w:r w:rsidRPr="00DF57B9">
        <w:rPr>
          <w:rFonts w:ascii="Arial" w:eastAsia="Times New Roman" w:hAnsi="Arial" w:cs="Arial"/>
          <w:sz w:val="16"/>
          <w:lang w:eastAsia="es-ES"/>
        </w:rPr>
        <w:t>Fuente OCIG</w:t>
      </w:r>
    </w:p>
    <w:p w:rsidR="00DF57B9" w:rsidRPr="0013384D" w:rsidRDefault="00DF57B9" w:rsidP="0013384D">
      <w:pPr>
        <w:jc w:val="both"/>
        <w:rPr>
          <w:rFonts w:ascii="Arial" w:hAnsi="Arial" w:cs="Arial"/>
          <w:sz w:val="24"/>
          <w:szCs w:val="24"/>
          <w:lang w:val="es-ES"/>
        </w:rPr>
      </w:pPr>
      <w:r w:rsidRPr="0013384D">
        <w:rPr>
          <w:rFonts w:ascii="Arial" w:hAnsi="Arial" w:cs="Arial"/>
          <w:sz w:val="24"/>
          <w:szCs w:val="24"/>
          <w:lang w:val="es-ES"/>
        </w:rPr>
        <w:t>Se analiza que la EAAB-ESP relaciona 159 acciones de mejoramiento producto de 6 informes de la Contraloría de Bogotá y 1 de la Contraloría General de la Republica, los cuales han sido monitoreadas a través de informes trimestrales por el equipo de la Oficina de Control Interno y Gestión.</w:t>
      </w:r>
    </w:p>
    <w:p w:rsidR="00DF57B9" w:rsidRPr="0013384D" w:rsidRDefault="00DF57B9" w:rsidP="0013384D">
      <w:pPr>
        <w:jc w:val="both"/>
        <w:rPr>
          <w:rFonts w:ascii="Arial" w:hAnsi="Arial" w:cs="Arial"/>
          <w:sz w:val="24"/>
          <w:szCs w:val="24"/>
          <w:lang w:val="es-ES"/>
        </w:rPr>
      </w:pPr>
      <w:r w:rsidRPr="0013384D">
        <w:rPr>
          <w:rFonts w:ascii="Arial" w:hAnsi="Arial" w:cs="Arial"/>
          <w:sz w:val="24"/>
          <w:szCs w:val="24"/>
          <w:lang w:val="es-ES"/>
        </w:rPr>
        <w:t>Los estados de las 159 acciones son:</w:t>
      </w:r>
    </w:p>
    <w:p w:rsidR="00DF57B9" w:rsidRPr="00DF57B9" w:rsidRDefault="00DF57B9" w:rsidP="00DF57B9">
      <w:pPr>
        <w:spacing w:after="0" w:line="240" w:lineRule="auto"/>
        <w:ind w:right="-1"/>
        <w:jc w:val="both"/>
        <w:rPr>
          <w:rFonts w:ascii="Arial" w:eastAsia="Times New Roman" w:hAnsi="Arial" w:cs="Arial"/>
          <w:lang w:eastAsia="es-ES"/>
        </w:rPr>
      </w:pPr>
    </w:p>
    <w:p w:rsidR="00DF57B9" w:rsidRPr="00DF57B9" w:rsidRDefault="00DF57B9" w:rsidP="0013384D">
      <w:pPr>
        <w:numPr>
          <w:ilvl w:val="0"/>
          <w:numId w:val="23"/>
        </w:numPr>
        <w:spacing w:after="120" w:line="240" w:lineRule="auto"/>
        <w:ind w:left="425" w:hanging="425"/>
        <w:jc w:val="both"/>
        <w:rPr>
          <w:rFonts w:ascii="Arial" w:eastAsia="Times New Roman" w:hAnsi="Arial" w:cs="Arial"/>
          <w:lang w:eastAsia="es-ES"/>
        </w:rPr>
      </w:pPr>
      <w:r w:rsidRPr="00DF57B9">
        <w:rPr>
          <w:rFonts w:ascii="Arial" w:eastAsia="Times New Roman" w:hAnsi="Arial" w:cs="Arial"/>
          <w:lang w:eastAsia="es-ES"/>
        </w:rPr>
        <w:t>70 acciones gestionadas y finalizadas a 31/12/2019. (58 de la Contraloría de Bogotá y 12 de la Contraloría General de la Republica).</w:t>
      </w:r>
    </w:p>
    <w:p w:rsidR="00DF57B9" w:rsidRPr="00DF57B9" w:rsidRDefault="00DF57B9" w:rsidP="0013384D">
      <w:pPr>
        <w:numPr>
          <w:ilvl w:val="0"/>
          <w:numId w:val="23"/>
        </w:numPr>
        <w:spacing w:after="120" w:line="240" w:lineRule="auto"/>
        <w:ind w:left="425" w:hanging="425"/>
        <w:jc w:val="both"/>
        <w:rPr>
          <w:rFonts w:ascii="Arial" w:eastAsia="Times New Roman" w:hAnsi="Arial" w:cs="Arial"/>
          <w:lang w:eastAsia="es-ES"/>
        </w:rPr>
      </w:pPr>
      <w:r w:rsidRPr="00DF57B9">
        <w:rPr>
          <w:rFonts w:ascii="Arial" w:eastAsia="Times New Roman" w:hAnsi="Arial" w:cs="Arial"/>
          <w:lang w:eastAsia="es-ES"/>
        </w:rPr>
        <w:t>85 acciones en Desarrollo (2 de la Contraloría de Bogotá y 3 de la Contraloría General de la Republica, a cumplir en la vigencia 2020).</w:t>
      </w:r>
    </w:p>
    <w:p w:rsidR="00DF57B9" w:rsidRPr="00DF57B9" w:rsidRDefault="00DF57B9" w:rsidP="0013384D">
      <w:pPr>
        <w:numPr>
          <w:ilvl w:val="0"/>
          <w:numId w:val="23"/>
        </w:numPr>
        <w:spacing w:after="120" w:line="240" w:lineRule="auto"/>
        <w:ind w:left="425" w:hanging="425"/>
        <w:jc w:val="both"/>
        <w:rPr>
          <w:rFonts w:ascii="Arial" w:eastAsia="Times New Roman" w:hAnsi="Arial" w:cs="Arial"/>
          <w:lang w:eastAsia="es-ES"/>
        </w:rPr>
      </w:pPr>
      <w:r w:rsidRPr="00DF57B9">
        <w:rPr>
          <w:rFonts w:ascii="Arial" w:eastAsia="Times New Roman" w:hAnsi="Arial" w:cs="Arial"/>
          <w:lang w:eastAsia="es-ES"/>
        </w:rPr>
        <w:t>4 acciones en alerta, las cuales han sido objeto de monitoreo por parte de la OCIG y responsables de las mismas.</w:t>
      </w:r>
    </w:p>
    <w:p w:rsidR="00DF57B9" w:rsidRPr="00DF57B9" w:rsidRDefault="00DF57B9" w:rsidP="00DF57B9">
      <w:pPr>
        <w:spacing w:after="0" w:line="240" w:lineRule="auto"/>
        <w:jc w:val="both"/>
        <w:rPr>
          <w:rFonts w:ascii="Arial" w:eastAsia="Times New Roman" w:hAnsi="Arial" w:cs="Arial"/>
          <w:lang w:eastAsia="es-ES"/>
        </w:rPr>
      </w:pPr>
    </w:p>
    <w:p w:rsidR="00DF57B9" w:rsidRDefault="00DF57B9" w:rsidP="0013384D">
      <w:pPr>
        <w:jc w:val="both"/>
        <w:rPr>
          <w:rFonts w:ascii="Arial" w:hAnsi="Arial" w:cs="Arial"/>
          <w:sz w:val="24"/>
          <w:szCs w:val="24"/>
          <w:lang w:val="es-ES"/>
        </w:rPr>
      </w:pPr>
      <w:r w:rsidRPr="0013384D">
        <w:rPr>
          <w:rFonts w:ascii="Arial" w:hAnsi="Arial" w:cs="Arial"/>
          <w:sz w:val="24"/>
          <w:szCs w:val="24"/>
          <w:lang w:val="es-ES"/>
        </w:rPr>
        <w:t>Producto de los seguimientos trimestrales se generaron los informes respectivos y se dieron a conocer a la Gerencia General y a las áreas responsables de los planes; generando así, alertas tempranas y recomendaciones orientadas a mejorar la gestión y a asegurar el cumplimiento de sus obligaciones. En temimos generales, los compromisos con los entes de control se han gestionado adecuadamente, de acuerdo con lo proyectado por los responsables de su gestión.</w:t>
      </w:r>
      <w:bookmarkEnd w:id="4"/>
    </w:p>
    <w:p w:rsidR="0013384D" w:rsidRDefault="0072305B" w:rsidP="0013384D">
      <w:pPr>
        <w:spacing w:line="276" w:lineRule="auto"/>
        <w:jc w:val="both"/>
        <w:rPr>
          <w:rFonts w:ascii="Calibri" w:hAnsi="Calibri" w:cs="Calibri"/>
          <w:b/>
          <w:sz w:val="28"/>
          <w:szCs w:val="28"/>
        </w:rPr>
      </w:pPr>
      <w:r>
        <w:rPr>
          <w:rFonts w:ascii="Calibri" w:hAnsi="Calibri" w:cs="Calibri"/>
          <w:b/>
          <w:sz w:val="28"/>
          <w:szCs w:val="28"/>
        </w:rPr>
        <w:t>5.</w:t>
      </w:r>
      <w:r w:rsidR="0013384D">
        <w:rPr>
          <w:rFonts w:ascii="Calibri" w:hAnsi="Calibri" w:cs="Calibri"/>
          <w:b/>
          <w:sz w:val="28"/>
          <w:szCs w:val="28"/>
        </w:rPr>
        <w:t>15</w:t>
      </w:r>
      <w:r w:rsidR="0013384D" w:rsidRPr="0013384D">
        <w:rPr>
          <w:rFonts w:ascii="Calibri" w:hAnsi="Calibri" w:cs="Calibri"/>
          <w:b/>
          <w:sz w:val="28"/>
          <w:szCs w:val="28"/>
        </w:rPr>
        <w:t xml:space="preserve">-Seguimiento </w:t>
      </w:r>
      <w:r w:rsidR="0013384D">
        <w:rPr>
          <w:rFonts w:ascii="Calibri" w:hAnsi="Calibri" w:cs="Calibri"/>
          <w:b/>
          <w:sz w:val="28"/>
          <w:szCs w:val="28"/>
        </w:rPr>
        <w:t>al Plan Anticorrupción y de Atención al Ciudadano PAAC</w:t>
      </w:r>
    </w:p>
    <w:p w:rsidR="0072305B" w:rsidRPr="0072305B" w:rsidRDefault="0072305B" w:rsidP="0072305B">
      <w:pPr>
        <w:jc w:val="both"/>
        <w:rPr>
          <w:rFonts w:ascii="Arial" w:hAnsi="Arial" w:cs="Arial"/>
          <w:sz w:val="24"/>
          <w:szCs w:val="24"/>
          <w:lang w:val="es-ES"/>
        </w:rPr>
      </w:pPr>
      <w:r w:rsidRPr="0072305B">
        <w:rPr>
          <w:rFonts w:ascii="Arial" w:hAnsi="Arial" w:cs="Arial"/>
          <w:sz w:val="24"/>
          <w:szCs w:val="24"/>
          <w:lang w:val="es-ES"/>
        </w:rPr>
        <w:t>La Oficina de Control Interno y Gestión de acuerdo con lo establecido en el Decreto 124 de 2016 ha efectuado el seguimiento al Plan Anticorrupción y de Atención al Ciudadano, PAAC, correspondiente a la vigencia 201</w:t>
      </w:r>
      <w:r w:rsidR="00C70218">
        <w:rPr>
          <w:rFonts w:ascii="Arial" w:hAnsi="Arial" w:cs="Arial"/>
          <w:sz w:val="24"/>
          <w:szCs w:val="24"/>
          <w:lang w:val="es-ES"/>
        </w:rPr>
        <w:t>9</w:t>
      </w:r>
      <w:r w:rsidRPr="0072305B">
        <w:rPr>
          <w:rFonts w:ascii="Arial" w:hAnsi="Arial" w:cs="Arial"/>
          <w:sz w:val="24"/>
          <w:szCs w:val="24"/>
          <w:lang w:val="es-ES"/>
        </w:rPr>
        <w:t>, el cual ha sido publicado en la página web de la Empresa, en el vínculo “</w:t>
      </w:r>
      <w:r w:rsidR="00C70218">
        <w:rPr>
          <w:rFonts w:ascii="Arial" w:hAnsi="Arial" w:cs="Arial"/>
          <w:sz w:val="24"/>
          <w:szCs w:val="24"/>
          <w:lang w:val="es-ES"/>
        </w:rPr>
        <w:t>LEY DE TRANSPARENCIA”</w:t>
      </w:r>
      <w:r w:rsidRPr="0072305B">
        <w:rPr>
          <w:rFonts w:ascii="Arial" w:hAnsi="Arial" w:cs="Arial"/>
          <w:sz w:val="24"/>
          <w:szCs w:val="24"/>
          <w:lang w:val="es-ES"/>
        </w:rPr>
        <w:t>.</w:t>
      </w:r>
    </w:p>
    <w:p w:rsidR="00485375" w:rsidRDefault="0072305B" w:rsidP="0072305B">
      <w:pPr>
        <w:jc w:val="both"/>
        <w:rPr>
          <w:rFonts w:ascii="Arial" w:hAnsi="Arial" w:cs="Arial"/>
          <w:sz w:val="24"/>
          <w:szCs w:val="24"/>
          <w:lang w:val="es-ES"/>
        </w:rPr>
      </w:pPr>
      <w:r w:rsidRPr="0072305B">
        <w:rPr>
          <w:rFonts w:ascii="Arial" w:hAnsi="Arial" w:cs="Arial"/>
          <w:sz w:val="24"/>
          <w:szCs w:val="24"/>
          <w:lang w:val="es-ES"/>
        </w:rPr>
        <w:t>En términos generales el PAAC 201</w:t>
      </w:r>
      <w:r w:rsidR="00C70218">
        <w:rPr>
          <w:rFonts w:ascii="Arial" w:hAnsi="Arial" w:cs="Arial"/>
          <w:sz w:val="24"/>
          <w:szCs w:val="24"/>
          <w:lang w:val="es-ES"/>
        </w:rPr>
        <w:t>9</w:t>
      </w:r>
      <w:r w:rsidRPr="0072305B">
        <w:rPr>
          <w:rFonts w:ascii="Arial" w:hAnsi="Arial" w:cs="Arial"/>
          <w:sz w:val="24"/>
          <w:szCs w:val="24"/>
          <w:lang w:val="es-ES"/>
        </w:rPr>
        <w:t xml:space="preserve"> se ha cumplido en un 9</w:t>
      </w:r>
      <w:r w:rsidR="00C70218">
        <w:rPr>
          <w:rFonts w:ascii="Arial" w:hAnsi="Arial" w:cs="Arial"/>
          <w:sz w:val="24"/>
          <w:szCs w:val="24"/>
          <w:lang w:val="es-ES"/>
        </w:rPr>
        <w:t>8</w:t>
      </w:r>
      <w:r w:rsidRPr="0072305B">
        <w:rPr>
          <w:rFonts w:ascii="Arial" w:hAnsi="Arial" w:cs="Arial"/>
          <w:sz w:val="24"/>
          <w:szCs w:val="24"/>
          <w:lang w:val="es-ES"/>
        </w:rPr>
        <w:t xml:space="preserve">% existiendo </w:t>
      </w:r>
      <w:r w:rsidR="00C66CAA">
        <w:rPr>
          <w:rFonts w:ascii="Arial" w:hAnsi="Arial" w:cs="Arial"/>
          <w:sz w:val="24"/>
          <w:szCs w:val="24"/>
          <w:lang w:val="es-ES"/>
        </w:rPr>
        <w:t xml:space="preserve">las siguientes </w:t>
      </w:r>
      <w:r w:rsidRPr="0072305B">
        <w:rPr>
          <w:rFonts w:ascii="Arial" w:hAnsi="Arial" w:cs="Arial"/>
          <w:sz w:val="24"/>
          <w:szCs w:val="24"/>
          <w:lang w:val="es-ES"/>
        </w:rPr>
        <w:t xml:space="preserve">actividades </w:t>
      </w:r>
      <w:r w:rsidR="00485375">
        <w:rPr>
          <w:rFonts w:ascii="Arial" w:hAnsi="Arial" w:cs="Arial"/>
          <w:sz w:val="24"/>
          <w:szCs w:val="24"/>
          <w:lang w:val="es-ES"/>
        </w:rPr>
        <w:t>que no lograron su culminación en esta vigencia:</w:t>
      </w:r>
    </w:p>
    <w:p w:rsidR="00C66CAA" w:rsidRPr="00C66CAA" w:rsidRDefault="00485375" w:rsidP="000C7498">
      <w:pPr>
        <w:pStyle w:val="Prrafodelista"/>
        <w:numPr>
          <w:ilvl w:val="0"/>
          <w:numId w:val="24"/>
        </w:numPr>
        <w:ind w:left="425" w:hanging="425"/>
        <w:contextualSpacing w:val="0"/>
        <w:jc w:val="both"/>
        <w:rPr>
          <w:rFonts w:ascii="Arial" w:hAnsi="Arial" w:cs="Arial"/>
          <w:lang w:val="es-ES"/>
        </w:rPr>
      </w:pPr>
      <w:r w:rsidRPr="00C66CAA">
        <w:rPr>
          <w:rFonts w:ascii="Arial" w:hAnsi="Arial" w:cs="Arial"/>
          <w:lang w:val="es-ES"/>
        </w:rPr>
        <w:t>Lograr el nivel 2 del "Proceso de Notificación" en el Marco de la interoperabilidad</w:t>
      </w:r>
      <w:r w:rsidR="00854C1C" w:rsidRPr="00C66CAA">
        <w:rPr>
          <w:rFonts w:ascii="Arial" w:hAnsi="Arial" w:cs="Arial"/>
          <w:lang w:val="es-ES"/>
        </w:rPr>
        <w:t xml:space="preserve"> para el Gobierno Digital del </w:t>
      </w:r>
      <w:r w:rsidR="00854C1C" w:rsidRPr="000C7498">
        <w:rPr>
          <w:rFonts w:ascii="Arial" w:hAnsi="Arial" w:cs="Arial"/>
          <w:lang w:val="es-ES"/>
        </w:rPr>
        <w:t>Ministerio de las Tecnologías de la Información y las Comunicaciones</w:t>
      </w:r>
      <w:r w:rsidRPr="00C66CAA">
        <w:rPr>
          <w:rFonts w:ascii="Arial" w:hAnsi="Arial" w:cs="Arial"/>
          <w:lang w:val="es-ES"/>
        </w:rPr>
        <w:t xml:space="preserve">, que incluye el uso de forma correcta </w:t>
      </w:r>
      <w:r w:rsidR="00854C1C" w:rsidRPr="00C66CAA">
        <w:rPr>
          <w:rFonts w:ascii="Arial" w:hAnsi="Arial" w:cs="Arial"/>
          <w:lang w:val="es-ES"/>
        </w:rPr>
        <w:t>d</w:t>
      </w:r>
      <w:r w:rsidRPr="00C66CAA">
        <w:rPr>
          <w:rFonts w:ascii="Arial" w:hAnsi="Arial" w:cs="Arial"/>
          <w:lang w:val="es-ES"/>
        </w:rPr>
        <w:t>el lenguaje común de intercambio de información en el trámite identificado</w:t>
      </w:r>
      <w:r w:rsidR="00854C1C" w:rsidRPr="00C66CAA">
        <w:rPr>
          <w:rFonts w:ascii="Arial" w:hAnsi="Arial" w:cs="Arial"/>
          <w:lang w:val="es-ES"/>
        </w:rPr>
        <w:t>.</w:t>
      </w:r>
      <w:r w:rsidR="00D264A2" w:rsidRPr="00C66CAA">
        <w:rPr>
          <w:rFonts w:ascii="Arial" w:hAnsi="Arial" w:cs="Arial"/>
          <w:lang w:val="es-ES"/>
        </w:rPr>
        <w:t xml:space="preserve"> Esta actividad corresponde al componente 2 del PAAC </w:t>
      </w:r>
      <w:r w:rsidR="00C66CAA">
        <w:rPr>
          <w:rFonts w:ascii="Arial" w:hAnsi="Arial" w:cs="Arial"/>
          <w:lang w:val="es-ES"/>
        </w:rPr>
        <w:t>(</w:t>
      </w:r>
      <w:r w:rsidR="00D264A2" w:rsidRPr="00C66CAA">
        <w:rPr>
          <w:rFonts w:ascii="Arial" w:hAnsi="Arial" w:cs="Arial"/>
          <w:lang w:val="es-ES"/>
        </w:rPr>
        <w:t>Racionalización de trámites</w:t>
      </w:r>
      <w:r w:rsidR="00C66CAA">
        <w:rPr>
          <w:rFonts w:ascii="Arial" w:hAnsi="Arial" w:cs="Arial"/>
          <w:lang w:val="es-ES"/>
        </w:rPr>
        <w:t>)</w:t>
      </w:r>
      <w:r w:rsidR="00D264A2" w:rsidRPr="00C66CAA">
        <w:rPr>
          <w:rFonts w:ascii="Arial" w:hAnsi="Arial" w:cs="Arial"/>
          <w:lang w:val="es-ES"/>
        </w:rPr>
        <w:t xml:space="preserve"> y se asignaron como responsables a la </w:t>
      </w:r>
      <w:r w:rsidRPr="00C66CAA">
        <w:rPr>
          <w:rFonts w:ascii="Arial" w:hAnsi="Arial" w:cs="Arial"/>
          <w:lang w:val="es-ES"/>
        </w:rPr>
        <w:t>Dirección de Apoyo Comercial con el apoyo de la Dirección de Servicios de Informática</w:t>
      </w:r>
      <w:r w:rsidR="00C66CAA" w:rsidRPr="00C66CAA">
        <w:rPr>
          <w:rFonts w:ascii="Arial" w:hAnsi="Arial" w:cs="Arial"/>
          <w:lang w:val="es-ES"/>
        </w:rPr>
        <w:t>.</w:t>
      </w:r>
      <w:r w:rsidR="000C7498">
        <w:rPr>
          <w:rFonts w:ascii="Arial" w:hAnsi="Arial" w:cs="Arial"/>
          <w:lang w:val="es-ES"/>
        </w:rPr>
        <w:t xml:space="preserve"> </w:t>
      </w:r>
      <w:r w:rsidR="000C7498" w:rsidRPr="000C7498">
        <w:rPr>
          <w:rFonts w:ascii="Arial" w:hAnsi="Arial" w:cs="Arial"/>
          <w:lang w:val="es-ES"/>
        </w:rPr>
        <w:t xml:space="preserve">Esta actividad </w:t>
      </w:r>
      <w:r w:rsidR="000C7498">
        <w:rPr>
          <w:rFonts w:ascii="Arial" w:hAnsi="Arial" w:cs="Arial"/>
          <w:lang w:val="es-ES"/>
        </w:rPr>
        <w:t xml:space="preserve">se reprogramó </w:t>
      </w:r>
      <w:r w:rsidR="000C7498" w:rsidRPr="000C7498">
        <w:rPr>
          <w:rFonts w:ascii="Arial" w:hAnsi="Arial" w:cs="Arial"/>
          <w:lang w:val="es-ES"/>
        </w:rPr>
        <w:t xml:space="preserve">para la vigencia 2020 </w:t>
      </w:r>
      <w:r w:rsidR="000C7498">
        <w:rPr>
          <w:rFonts w:ascii="Arial" w:hAnsi="Arial" w:cs="Arial"/>
          <w:lang w:val="es-ES"/>
        </w:rPr>
        <w:t xml:space="preserve">con la aprobación del </w:t>
      </w:r>
      <w:r w:rsidR="000C7498" w:rsidRPr="000C7498">
        <w:rPr>
          <w:rFonts w:ascii="Arial" w:hAnsi="Arial" w:cs="Arial"/>
          <w:lang w:val="es-ES"/>
        </w:rPr>
        <w:t>Comité de Gestión y Desempeño de la Empresa</w:t>
      </w:r>
    </w:p>
    <w:p w:rsidR="00C66CAA" w:rsidRPr="00C66CAA" w:rsidRDefault="00C66CAA" w:rsidP="00C66CAA">
      <w:pPr>
        <w:pStyle w:val="Prrafodelista"/>
        <w:numPr>
          <w:ilvl w:val="0"/>
          <w:numId w:val="24"/>
        </w:numPr>
        <w:ind w:left="426" w:hanging="426"/>
        <w:jc w:val="both"/>
        <w:rPr>
          <w:rFonts w:ascii="Arial" w:hAnsi="Arial" w:cs="Arial"/>
          <w:lang w:val="es-ES"/>
        </w:rPr>
      </w:pPr>
      <w:r w:rsidRPr="00C66CAA">
        <w:rPr>
          <w:rFonts w:ascii="Arial" w:hAnsi="Arial" w:cs="Arial"/>
          <w:lang w:val="es-ES"/>
        </w:rPr>
        <w:t xml:space="preserve">Realizar la implementación tecnológica para la traducción en idioma Inglés de los contenidos disponibles en el portal Corporativo de la entidad. Esta actividad corresponde al componente </w:t>
      </w:r>
      <w:r>
        <w:rPr>
          <w:rFonts w:ascii="Arial" w:hAnsi="Arial" w:cs="Arial"/>
          <w:lang w:val="es-ES"/>
        </w:rPr>
        <w:t>5</w:t>
      </w:r>
      <w:r w:rsidRPr="00C66CAA">
        <w:rPr>
          <w:rFonts w:ascii="Arial" w:hAnsi="Arial" w:cs="Arial"/>
          <w:lang w:val="es-ES"/>
        </w:rPr>
        <w:t xml:space="preserve"> del PAAC de </w:t>
      </w:r>
      <w:r>
        <w:rPr>
          <w:rFonts w:ascii="Arial" w:hAnsi="Arial" w:cs="Arial"/>
          <w:lang w:val="es-ES"/>
        </w:rPr>
        <w:t xml:space="preserve">(Transparencia y Acceso a la Información) la cual como responsable de su gestión fue </w:t>
      </w:r>
      <w:r w:rsidRPr="00C66CAA">
        <w:rPr>
          <w:rFonts w:ascii="Arial" w:hAnsi="Arial" w:cs="Arial"/>
          <w:lang w:val="es-ES"/>
        </w:rPr>
        <w:t>la Dirección de Servicios de Informática.</w:t>
      </w:r>
    </w:p>
    <w:p w:rsidR="0072305B" w:rsidRDefault="0072305B" w:rsidP="0072305B">
      <w:pPr>
        <w:jc w:val="both"/>
        <w:rPr>
          <w:rFonts w:ascii="Arial" w:hAnsi="Arial" w:cs="Arial"/>
          <w:sz w:val="24"/>
          <w:szCs w:val="24"/>
          <w:lang w:val="es-ES"/>
        </w:rPr>
      </w:pPr>
      <w:r w:rsidRPr="0072305B">
        <w:rPr>
          <w:rFonts w:ascii="Arial" w:hAnsi="Arial" w:cs="Arial"/>
          <w:sz w:val="24"/>
          <w:szCs w:val="24"/>
          <w:lang w:val="es-ES"/>
        </w:rPr>
        <w:t>Como resultado de este seguimiento se observa que, no obstante el PAAC haber sido elaborado teniendo en cuenta los lineamientos normativos correspondientes, el impacto de la Estrategia de Lucha Contra la Corrupción de la Empresa se ve limitado mientras dicho Plan no se construya incluyendo la perspectiva de logros, que permita darle contenido estratégico articulado con la gestión y los objetivos de la Empresa para generar los lineamientos que permitan lograr la máxima efectividad en la estrategia en la lucha contra la corrupción.</w:t>
      </w:r>
    </w:p>
    <w:p w:rsidR="00F7457F" w:rsidRPr="001C0F52" w:rsidRDefault="00F7457F" w:rsidP="001C0F52">
      <w:pPr>
        <w:spacing w:line="276" w:lineRule="auto"/>
        <w:jc w:val="both"/>
        <w:rPr>
          <w:rFonts w:ascii="Calibri" w:hAnsi="Calibri" w:cs="Calibri"/>
          <w:b/>
          <w:sz w:val="28"/>
          <w:szCs w:val="28"/>
        </w:rPr>
      </w:pPr>
      <w:r w:rsidRPr="001C0F52">
        <w:rPr>
          <w:rFonts w:ascii="Calibri" w:hAnsi="Calibri" w:cs="Calibri"/>
          <w:b/>
          <w:sz w:val="28"/>
          <w:szCs w:val="28"/>
        </w:rPr>
        <w:t>5.16 Acompañamiento OCIG al proceso de empalme</w:t>
      </w:r>
      <w:r w:rsidR="00402889" w:rsidRPr="001C0F52">
        <w:rPr>
          <w:rFonts w:ascii="Calibri" w:hAnsi="Calibri" w:cs="Calibri"/>
          <w:b/>
          <w:sz w:val="28"/>
          <w:szCs w:val="28"/>
        </w:rPr>
        <w:t>.</w:t>
      </w:r>
    </w:p>
    <w:p w:rsidR="00402889" w:rsidRPr="001C0F52" w:rsidRDefault="00402889" w:rsidP="00995140">
      <w:pPr>
        <w:spacing w:line="240" w:lineRule="auto"/>
        <w:jc w:val="both"/>
        <w:rPr>
          <w:rFonts w:ascii="Arial" w:hAnsi="Arial" w:cs="Arial"/>
          <w:sz w:val="24"/>
          <w:szCs w:val="24"/>
          <w:lang w:val="es-ES"/>
        </w:rPr>
      </w:pPr>
      <w:r w:rsidRPr="001C0F52">
        <w:rPr>
          <w:rFonts w:ascii="Arial" w:hAnsi="Arial" w:cs="Arial"/>
          <w:sz w:val="24"/>
          <w:szCs w:val="24"/>
          <w:lang w:val="es-ES"/>
        </w:rPr>
        <w:t xml:space="preserve">Con relación a la circular 013 de 2019, expedida por la Veeduría </w:t>
      </w:r>
      <w:r w:rsidR="001C0F52" w:rsidRPr="001C0F52">
        <w:rPr>
          <w:rFonts w:ascii="Arial" w:hAnsi="Arial" w:cs="Arial"/>
          <w:sz w:val="24"/>
          <w:szCs w:val="24"/>
          <w:lang w:val="es-ES"/>
        </w:rPr>
        <w:t>Distrital</w:t>
      </w:r>
      <w:r w:rsidRPr="001C0F52">
        <w:rPr>
          <w:rFonts w:ascii="Arial" w:hAnsi="Arial" w:cs="Arial"/>
          <w:sz w:val="24"/>
          <w:szCs w:val="24"/>
          <w:lang w:val="es-ES"/>
        </w:rPr>
        <w:t xml:space="preserve">, la Empresa de Acueducto y Alcantarillado de Bogotá – ESP, adelantó el proceso de empalme con base en la Circular 002 del 6 de junio de 2019, de la Alcaldía Mayor de Bogotá, cuyo objeto es: </w:t>
      </w:r>
      <w:r w:rsidRPr="001C0F52">
        <w:rPr>
          <w:rFonts w:ascii="Arial" w:hAnsi="Arial" w:cs="Arial"/>
          <w:b/>
          <w:sz w:val="24"/>
          <w:szCs w:val="24"/>
          <w:lang w:val="es-ES"/>
        </w:rPr>
        <w:t>“Entrega de Insumos para los Informes de Empalme con la Administración Distrital Entrante”</w:t>
      </w:r>
      <w:r w:rsidRPr="001C0F52">
        <w:rPr>
          <w:rFonts w:ascii="Arial" w:hAnsi="Arial" w:cs="Arial"/>
          <w:sz w:val="24"/>
          <w:szCs w:val="24"/>
          <w:lang w:val="es-ES"/>
        </w:rPr>
        <w:t>. Adelantando al respecto las siguientes actividades:</w:t>
      </w:r>
    </w:p>
    <w:p w:rsidR="00402889" w:rsidRPr="00995140" w:rsidRDefault="00402889" w:rsidP="00995140">
      <w:pPr>
        <w:jc w:val="both"/>
        <w:rPr>
          <w:rFonts w:ascii="Arial" w:hAnsi="Arial" w:cs="Arial"/>
          <w:sz w:val="24"/>
          <w:szCs w:val="24"/>
          <w:lang w:val="es-ES"/>
        </w:rPr>
      </w:pPr>
      <w:r w:rsidRPr="00995140">
        <w:rPr>
          <w:rFonts w:ascii="Arial" w:hAnsi="Arial" w:cs="Arial"/>
          <w:sz w:val="24"/>
          <w:szCs w:val="24"/>
          <w:lang w:val="es-ES"/>
        </w:rPr>
        <w:t>Con memorando 12100-2019-1056 del 12 de junio de 2019, la Gerencia Corporativa de Planeamiento y Control de la EAAB-ESP, solicitó a la Secretaría General, Gerentes Corporativos, Gerentes, Directores y Jefes de Oficina, la remisión del Diagnóstico Sectorial, Informe de Gestión y Desarrollo Institucional, Informe de Balance del Plan de Desarrollo y Balance Estratégico de la Administración.</w:t>
      </w:r>
    </w:p>
    <w:p w:rsidR="00402889" w:rsidRPr="00995140" w:rsidRDefault="00402889" w:rsidP="00995140">
      <w:pPr>
        <w:jc w:val="both"/>
        <w:rPr>
          <w:rFonts w:ascii="Arial" w:hAnsi="Arial" w:cs="Arial"/>
          <w:sz w:val="24"/>
          <w:szCs w:val="24"/>
          <w:lang w:val="es-ES"/>
        </w:rPr>
      </w:pPr>
      <w:r w:rsidRPr="00995140">
        <w:rPr>
          <w:rFonts w:ascii="Arial" w:hAnsi="Arial" w:cs="Arial"/>
          <w:sz w:val="24"/>
          <w:szCs w:val="24"/>
          <w:lang w:val="es-ES"/>
        </w:rPr>
        <w:t>A través del oficio 12100-2019-1156 del 28 de junio de 2019, la Gerencia Corporativa de Planeamiento y Control de la EAAB-ESP, remitió a la Secretaría Distrital del Hábitat, el Informe de Diagnóstico Sectorial y el Balance Estratégico de la EAAB-ESP.</w:t>
      </w:r>
    </w:p>
    <w:p w:rsidR="00402889" w:rsidRPr="00995140" w:rsidRDefault="00402889" w:rsidP="00995140">
      <w:pPr>
        <w:jc w:val="both"/>
        <w:rPr>
          <w:rFonts w:ascii="Arial" w:hAnsi="Arial" w:cs="Arial"/>
          <w:sz w:val="24"/>
          <w:szCs w:val="24"/>
          <w:lang w:val="es-ES"/>
        </w:rPr>
      </w:pPr>
      <w:r w:rsidRPr="00995140">
        <w:rPr>
          <w:rFonts w:ascii="Arial" w:hAnsi="Arial" w:cs="Arial"/>
          <w:sz w:val="24"/>
          <w:szCs w:val="24"/>
          <w:lang w:val="es-ES"/>
        </w:rPr>
        <w:t>La Gerencia Corporativa de Planeamiento y Control de la EAAB-ESP, envió al Secretario de despacho de la Secretaría General de la Alcaldía Mayor de Bogotá, Informe de Gestión y Desarro</w:t>
      </w:r>
      <w:r w:rsidR="001C0F52" w:rsidRPr="00995140">
        <w:rPr>
          <w:rFonts w:ascii="Arial" w:hAnsi="Arial" w:cs="Arial"/>
          <w:sz w:val="24"/>
          <w:szCs w:val="24"/>
          <w:lang w:val="es-ES"/>
        </w:rPr>
        <w:t>llo Institucional de la Empresa</w:t>
      </w:r>
      <w:r w:rsidRPr="00995140">
        <w:rPr>
          <w:rFonts w:ascii="Arial" w:hAnsi="Arial" w:cs="Arial"/>
          <w:sz w:val="24"/>
          <w:szCs w:val="24"/>
          <w:lang w:val="es-ES"/>
        </w:rPr>
        <w:t xml:space="preserve"> y sus </w:t>
      </w:r>
      <w:r w:rsidR="001C0F52" w:rsidRPr="00995140">
        <w:rPr>
          <w:rFonts w:ascii="Arial" w:hAnsi="Arial" w:cs="Arial"/>
          <w:sz w:val="24"/>
          <w:szCs w:val="24"/>
          <w:lang w:val="es-ES"/>
        </w:rPr>
        <w:t>a</w:t>
      </w:r>
      <w:r w:rsidRPr="00995140">
        <w:rPr>
          <w:rFonts w:ascii="Arial" w:hAnsi="Arial" w:cs="Arial"/>
          <w:sz w:val="24"/>
          <w:szCs w:val="24"/>
          <w:lang w:val="es-ES"/>
        </w:rPr>
        <w:t>nexos, con oficio 12100-2019-1224 del 5 de julio de 2019.</w:t>
      </w:r>
    </w:p>
    <w:p w:rsidR="00402889" w:rsidRPr="00995140" w:rsidRDefault="00402889" w:rsidP="00995140">
      <w:pPr>
        <w:jc w:val="both"/>
        <w:rPr>
          <w:rFonts w:ascii="Arial" w:hAnsi="Arial" w:cs="Arial"/>
          <w:sz w:val="24"/>
          <w:szCs w:val="24"/>
          <w:lang w:val="es-ES"/>
        </w:rPr>
      </w:pPr>
      <w:r w:rsidRPr="00995140">
        <w:rPr>
          <w:rFonts w:ascii="Arial" w:hAnsi="Arial" w:cs="Arial"/>
          <w:sz w:val="24"/>
          <w:szCs w:val="24"/>
          <w:lang w:val="es-ES"/>
        </w:rPr>
        <w:t>Se remitió a la secretaría Distrital del Hábitat, Informe de Seguimiento a las Políticas de Gestión y Desarrollo Institucional de la EAAB.ESP, con oficio 12100-2019-2249 del 29 de octubre de 2019.</w:t>
      </w:r>
    </w:p>
    <w:p w:rsidR="00402889" w:rsidRPr="00995140" w:rsidRDefault="00402889" w:rsidP="00995140">
      <w:pPr>
        <w:jc w:val="both"/>
        <w:rPr>
          <w:rFonts w:ascii="Arial" w:hAnsi="Arial" w:cs="Arial"/>
          <w:sz w:val="24"/>
          <w:szCs w:val="24"/>
          <w:lang w:val="es-ES"/>
        </w:rPr>
      </w:pPr>
      <w:r w:rsidRPr="00995140">
        <w:rPr>
          <w:rFonts w:ascii="Arial" w:hAnsi="Arial" w:cs="Arial"/>
          <w:sz w:val="24"/>
          <w:szCs w:val="24"/>
          <w:lang w:val="es-ES"/>
        </w:rPr>
        <w:t>Mediante oficio 10200-2019-0718 del 5 de diciembre de 2019, la Gerencia General de la EAAB-ESP, remitió a la Secretaría General de la Alcaldía Mayor de Bogotá: Informe de Gestión y Desarrollo Institucional, Informe de Seguimiento a las Políticas de Gestión y Desarrollo Institucional e informe de MIPG.</w:t>
      </w:r>
    </w:p>
    <w:p w:rsidR="00402889" w:rsidRPr="00995140" w:rsidRDefault="00402889" w:rsidP="00995140">
      <w:pPr>
        <w:jc w:val="both"/>
        <w:rPr>
          <w:rFonts w:ascii="Arial" w:hAnsi="Arial" w:cs="Arial"/>
          <w:sz w:val="24"/>
          <w:szCs w:val="24"/>
          <w:lang w:val="es-ES"/>
        </w:rPr>
      </w:pPr>
      <w:r w:rsidRPr="00995140">
        <w:rPr>
          <w:rFonts w:ascii="Arial" w:hAnsi="Arial" w:cs="Arial"/>
          <w:sz w:val="24"/>
          <w:szCs w:val="24"/>
          <w:lang w:val="es-ES"/>
        </w:rPr>
        <w:t>De la misma manera, en virtud de la Circular 003 de 2019 de la Alcaldía Mayor de Bogotá, con la cual se le dio alcance a la Circular 002 de 2019, la Gerencia Corporativa de Planeamiento y Gestión socializó a todas las áreas correspondientes de la EAAB.ESP, con memorando 12200-2019-2275 del 1 de noviembre de 2019, las etapas para el desarrollo del proceso de cierre de gestión y empalme: 1. Entrega de Informe y Presentación de Empalme, 2. Entrega de Anexos Complementarios y 3. Desarrollo de Sesiones de Empalme entre la Administración saliente y entrante.</w:t>
      </w:r>
    </w:p>
    <w:p w:rsidR="00402889" w:rsidRPr="00995140" w:rsidRDefault="00402889" w:rsidP="00995140">
      <w:pPr>
        <w:jc w:val="both"/>
        <w:rPr>
          <w:rFonts w:ascii="Arial" w:hAnsi="Arial" w:cs="Arial"/>
          <w:sz w:val="24"/>
          <w:szCs w:val="24"/>
          <w:lang w:val="es-ES"/>
        </w:rPr>
      </w:pPr>
      <w:r w:rsidRPr="00995140">
        <w:rPr>
          <w:rFonts w:ascii="Arial" w:hAnsi="Arial" w:cs="Arial"/>
          <w:sz w:val="24"/>
          <w:szCs w:val="24"/>
          <w:lang w:val="es-ES"/>
        </w:rPr>
        <w:t>El informe de empalme fue elaborado y se encuentra publi</w:t>
      </w:r>
      <w:r w:rsidR="00766FA4" w:rsidRPr="00995140">
        <w:rPr>
          <w:rFonts w:ascii="Arial" w:hAnsi="Arial" w:cs="Arial"/>
          <w:sz w:val="24"/>
          <w:szCs w:val="24"/>
          <w:lang w:val="es-ES"/>
        </w:rPr>
        <w:t>cado en la página WEB de la Empresa en el siguiente enlace:</w:t>
      </w:r>
    </w:p>
    <w:p w:rsidR="00995140" w:rsidRDefault="000371E6" w:rsidP="00995140">
      <w:pPr>
        <w:jc w:val="both"/>
        <w:rPr>
          <w:rFonts w:ascii="Arial" w:hAnsi="Arial" w:cs="Arial"/>
          <w:sz w:val="24"/>
          <w:szCs w:val="24"/>
          <w:lang w:val="es-ES"/>
        </w:rPr>
      </w:pPr>
      <w:hyperlink r:id="rId25" w:history="1">
        <w:r w:rsidR="006432ED" w:rsidRPr="00B3255A">
          <w:rPr>
            <w:rStyle w:val="Hipervnculo"/>
            <w:rFonts w:ascii="Arial" w:hAnsi="Arial" w:cs="Arial"/>
            <w:sz w:val="24"/>
            <w:szCs w:val="24"/>
            <w:lang w:val="es-ES"/>
          </w:rPr>
          <w:t>https://www.acueducto.com.co</w:t>
        </w:r>
      </w:hyperlink>
      <w:r w:rsidR="006432ED">
        <w:rPr>
          <w:rFonts w:ascii="Arial" w:hAnsi="Arial" w:cs="Arial"/>
          <w:sz w:val="24"/>
          <w:szCs w:val="24"/>
          <w:lang w:val="es-ES"/>
        </w:rPr>
        <w:t xml:space="preserve"> &gt; La empresa &gt; Rendición de cuentas &gt; Otros informes &gt; Informe de empalme 2016 - 2020</w:t>
      </w:r>
    </w:p>
    <w:p w:rsidR="00402889" w:rsidRPr="00995140" w:rsidRDefault="00402889" w:rsidP="00995140">
      <w:pPr>
        <w:jc w:val="both"/>
        <w:rPr>
          <w:rFonts w:ascii="Arial" w:hAnsi="Arial" w:cs="Arial"/>
          <w:sz w:val="24"/>
          <w:szCs w:val="24"/>
          <w:lang w:val="es-ES"/>
        </w:rPr>
      </w:pPr>
      <w:r w:rsidRPr="00995140">
        <w:rPr>
          <w:rFonts w:ascii="Arial" w:hAnsi="Arial" w:cs="Arial"/>
          <w:sz w:val="24"/>
          <w:szCs w:val="24"/>
          <w:lang w:val="es-ES"/>
        </w:rPr>
        <w:t>Igualmente, la Empresa elaboró el Informe de Gestión del Modelo Integrado de Planeación y Gestión MIPG – 2019</w:t>
      </w:r>
      <w:r w:rsidR="00766FA4" w:rsidRPr="00995140">
        <w:rPr>
          <w:rFonts w:ascii="Arial" w:hAnsi="Arial" w:cs="Arial"/>
          <w:sz w:val="24"/>
          <w:szCs w:val="24"/>
          <w:lang w:val="es-ES"/>
        </w:rPr>
        <w:t>.</w:t>
      </w:r>
    </w:p>
    <w:p w:rsidR="00402889" w:rsidRPr="00995140" w:rsidRDefault="00402889" w:rsidP="00995140">
      <w:pPr>
        <w:jc w:val="both"/>
        <w:rPr>
          <w:rFonts w:ascii="Arial" w:hAnsi="Arial" w:cs="Arial"/>
          <w:sz w:val="24"/>
          <w:szCs w:val="24"/>
          <w:lang w:val="es-ES"/>
        </w:rPr>
      </w:pPr>
      <w:r w:rsidRPr="00995140">
        <w:rPr>
          <w:rFonts w:ascii="Arial" w:hAnsi="Arial" w:cs="Arial"/>
          <w:sz w:val="24"/>
          <w:szCs w:val="24"/>
          <w:lang w:val="es-ES"/>
        </w:rPr>
        <w:t>De la misma manera, para dar cumplimiento a la Directiva 009 de 2019, de la Procuraduría General de la Nación, la Empresa llev</w:t>
      </w:r>
      <w:r w:rsidR="00766FA4" w:rsidRPr="00995140">
        <w:rPr>
          <w:rFonts w:ascii="Arial" w:hAnsi="Arial" w:cs="Arial"/>
          <w:sz w:val="24"/>
          <w:szCs w:val="24"/>
          <w:lang w:val="es-ES"/>
        </w:rPr>
        <w:t>ó</w:t>
      </w:r>
      <w:r w:rsidRPr="00995140">
        <w:rPr>
          <w:rFonts w:ascii="Arial" w:hAnsi="Arial" w:cs="Arial"/>
          <w:sz w:val="24"/>
          <w:szCs w:val="24"/>
          <w:lang w:val="es-ES"/>
        </w:rPr>
        <w:t xml:space="preserve"> a cabo las siguientes gestiones:</w:t>
      </w:r>
    </w:p>
    <w:p w:rsidR="00402889" w:rsidRPr="00995140" w:rsidRDefault="00402889" w:rsidP="00995140">
      <w:pPr>
        <w:jc w:val="both"/>
        <w:rPr>
          <w:rFonts w:ascii="Arial" w:hAnsi="Arial" w:cs="Arial"/>
          <w:sz w:val="24"/>
          <w:szCs w:val="24"/>
          <w:lang w:val="es-ES"/>
        </w:rPr>
      </w:pPr>
      <w:r w:rsidRPr="00995140">
        <w:rPr>
          <w:rFonts w:ascii="Arial" w:hAnsi="Arial" w:cs="Arial"/>
          <w:sz w:val="24"/>
          <w:szCs w:val="24"/>
          <w:lang w:val="es-ES"/>
        </w:rPr>
        <w:t>Sesión de Comisiones de empalme, entre delegados de la EAB.ESP y de la administración entrante, en el Club la Aguadora desde el 19 de noviembre hasta el 4 de diciembre de 2019.</w:t>
      </w:r>
    </w:p>
    <w:p w:rsidR="00402889" w:rsidRPr="00995140" w:rsidRDefault="00402889" w:rsidP="00995140">
      <w:pPr>
        <w:jc w:val="both"/>
        <w:rPr>
          <w:rFonts w:ascii="Arial" w:hAnsi="Arial" w:cs="Arial"/>
          <w:sz w:val="24"/>
          <w:szCs w:val="24"/>
          <w:lang w:val="es-ES"/>
        </w:rPr>
      </w:pPr>
      <w:r w:rsidRPr="00995140">
        <w:rPr>
          <w:rFonts w:ascii="Arial" w:hAnsi="Arial" w:cs="Arial"/>
          <w:sz w:val="24"/>
          <w:szCs w:val="24"/>
          <w:lang w:val="es-ES"/>
        </w:rPr>
        <w:t xml:space="preserve">Respecto al cumplimiento de la Ley 951 de 2005, el </w:t>
      </w:r>
      <w:r w:rsidR="00766FA4" w:rsidRPr="00995140">
        <w:rPr>
          <w:rFonts w:ascii="Arial" w:hAnsi="Arial" w:cs="Arial"/>
          <w:sz w:val="24"/>
          <w:szCs w:val="24"/>
          <w:lang w:val="es-ES"/>
        </w:rPr>
        <w:t xml:space="preserve">Acta </w:t>
      </w:r>
      <w:r w:rsidRPr="00995140">
        <w:rPr>
          <w:rFonts w:ascii="Arial" w:hAnsi="Arial" w:cs="Arial"/>
          <w:sz w:val="24"/>
          <w:szCs w:val="24"/>
          <w:lang w:val="es-ES"/>
        </w:rPr>
        <w:t>de Informe de Gestión se ha presentado dentro de los términos señalados para tal fin, por parte de los funcionarios salientes y sobre los cuales recae esta obligación.</w:t>
      </w:r>
    </w:p>
    <w:p w:rsidR="00402889" w:rsidRPr="00995140" w:rsidRDefault="00402889" w:rsidP="00995140">
      <w:pPr>
        <w:jc w:val="both"/>
        <w:rPr>
          <w:rFonts w:ascii="Arial" w:hAnsi="Arial" w:cs="Arial"/>
          <w:sz w:val="24"/>
          <w:szCs w:val="24"/>
          <w:lang w:val="es-ES"/>
        </w:rPr>
      </w:pPr>
      <w:r w:rsidRPr="00995140">
        <w:rPr>
          <w:rFonts w:ascii="Arial" w:hAnsi="Arial" w:cs="Arial"/>
          <w:sz w:val="24"/>
          <w:szCs w:val="24"/>
          <w:lang w:val="es-ES"/>
        </w:rPr>
        <w:t xml:space="preserve">Atendiendo las indicaciones de la Alcaldía Mayor, la Oficina de Control Interno y </w:t>
      </w:r>
      <w:r w:rsidR="00D762C4" w:rsidRPr="00995140">
        <w:rPr>
          <w:rFonts w:ascii="Arial" w:hAnsi="Arial" w:cs="Arial"/>
          <w:sz w:val="24"/>
          <w:szCs w:val="24"/>
          <w:lang w:val="es-ES"/>
        </w:rPr>
        <w:t xml:space="preserve">Gestión </w:t>
      </w:r>
      <w:r w:rsidRPr="00995140">
        <w:rPr>
          <w:rFonts w:ascii="Arial" w:hAnsi="Arial" w:cs="Arial"/>
          <w:sz w:val="24"/>
          <w:szCs w:val="24"/>
          <w:lang w:val="es-ES"/>
        </w:rPr>
        <w:t>estuvo presente en todas la</w:t>
      </w:r>
      <w:r w:rsidR="00995140" w:rsidRPr="00995140">
        <w:rPr>
          <w:rFonts w:ascii="Arial" w:hAnsi="Arial" w:cs="Arial"/>
          <w:sz w:val="24"/>
          <w:szCs w:val="24"/>
          <w:lang w:val="es-ES"/>
        </w:rPr>
        <w:t>s</w:t>
      </w:r>
      <w:r w:rsidRPr="00995140">
        <w:rPr>
          <w:rFonts w:ascii="Arial" w:hAnsi="Arial" w:cs="Arial"/>
          <w:sz w:val="24"/>
          <w:szCs w:val="24"/>
          <w:lang w:val="es-ES"/>
        </w:rPr>
        <w:t xml:space="preserve"> mesas de trabajo programadas con el equipo de empalme de la nueva administración e igualmente presentó la gestión adelantada, fortalezas y debilidades detectadas en el marco de las auditorias y de la evaluación al Sistema de Control Interno de la EAAB-ESP.</w:t>
      </w:r>
    </w:p>
    <w:p w:rsidR="00F7457F" w:rsidRPr="00995140" w:rsidRDefault="00402889" w:rsidP="00995140">
      <w:pPr>
        <w:jc w:val="both"/>
        <w:rPr>
          <w:rFonts w:ascii="Arial" w:hAnsi="Arial" w:cs="Arial"/>
          <w:sz w:val="24"/>
          <w:szCs w:val="24"/>
          <w:lang w:val="es-ES"/>
        </w:rPr>
      </w:pPr>
      <w:r w:rsidRPr="00995140">
        <w:rPr>
          <w:rFonts w:ascii="Arial" w:hAnsi="Arial" w:cs="Arial"/>
          <w:sz w:val="24"/>
          <w:szCs w:val="24"/>
          <w:lang w:val="es-ES"/>
        </w:rPr>
        <w:t>Por último, en cuanto a los informes pormenorizados del sistema de control interno, la Oficina de Control Interno y Gestión de la EA</w:t>
      </w:r>
      <w:r w:rsidR="00995140" w:rsidRPr="00995140">
        <w:rPr>
          <w:rFonts w:ascii="Arial" w:hAnsi="Arial" w:cs="Arial"/>
          <w:sz w:val="24"/>
          <w:szCs w:val="24"/>
          <w:lang w:val="es-ES"/>
        </w:rPr>
        <w:t>A</w:t>
      </w:r>
      <w:r w:rsidRPr="00995140">
        <w:rPr>
          <w:rFonts w:ascii="Arial" w:hAnsi="Arial" w:cs="Arial"/>
          <w:sz w:val="24"/>
          <w:szCs w:val="24"/>
          <w:lang w:val="es-ES"/>
        </w:rPr>
        <w:t>B.ESP, lo lleva</w:t>
      </w:r>
      <w:r w:rsidR="006E642C" w:rsidRPr="00995140">
        <w:rPr>
          <w:rFonts w:ascii="Arial" w:hAnsi="Arial" w:cs="Arial"/>
          <w:sz w:val="24"/>
          <w:szCs w:val="24"/>
          <w:lang w:val="es-ES"/>
        </w:rPr>
        <w:t>rá</w:t>
      </w:r>
      <w:r w:rsidRPr="00995140">
        <w:rPr>
          <w:rFonts w:ascii="Arial" w:hAnsi="Arial" w:cs="Arial"/>
          <w:sz w:val="24"/>
          <w:szCs w:val="24"/>
          <w:lang w:val="es-ES"/>
        </w:rPr>
        <w:t xml:space="preserve"> cabo mediante el informe denominado: Informe de Evaluación Independiente del Sistema de Control Interno, cada 6 meses, en cumplimiento del Decreto Nacional 2106 de 2019 y la Circular del DAFP 06 de 2019.</w:t>
      </w:r>
    </w:p>
    <w:sectPr w:rsidR="00F7457F" w:rsidRPr="00995140" w:rsidSect="00A44284">
      <w:headerReference w:type="default" r:id="rId26"/>
      <w:footerReference w:type="default" r:id="rId27"/>
      <w:pgSz w:w="12240" w:h="15840" w:code="122"/>
      <w:pgMar w:top="1418" w:right="1701" w:bottom="1418" w:left="1701" w:header="454"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71E6" w:rsidRDefault="000371E6" w:rsidP="00600F9C">
      <w:pPr>
        <w:spacing w:after="0" w:line="240" w:lineRule="auto"/>
      </w:pPr>
      <w:r>
        <w:separator/>
      </w:r>
    </w:p>
  </w:endnote>
  <w:endnote w:type="continuationSeparator" w:id="0">
    <w:p w:rsidR="000371E6" w:rsidRDefault="000371E6" w:rsidP="00600F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4284" w:rsidRDefault="00A44284" w:rsidP="00A44284">
    <w:pPr>
      <w:pStyle w:val="Piedepgina"/>
      <w:jc w:val="right"/>
    </w:pPr>
    <w:r>
      <w:rPr>
        <w:rFonts w:ascii="Arial" w:hAnsi="Arial" w:cs="Arial"/>
        <w:noProof/>
        <w:color w:val="404040" w:themeColor="text1" w:themeTint="BF"/>
        <w:sz w:val="12"/>
        <w:szCs w:val="12"/>
        <w:lang w:eastAsia="es-CO"/>
      </w:rPr>
      <w:drawing>
        <wp:inline distT="0" distB="0" distL="0" distR="0" wp14:anchorId="6D2AA909" wp14:editId="18A3BA47">
          <wp:extent cx="5612130" cy="680275"/>
          <wp:effectExtent l="0" t="0" r="7620" b="5715"/>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e-marca-bta-negro-sin-icontec.jpg"/>
                  <pic:cNvPicPr/>
                </pic:nvPicPr>
                <pic:blipFill>
                  <a:blip r:embed="rId1">
                    <a:extLst>
                      <a:ext uri="{28A0092B-C50C-407E-A947-70E740481C1C}">
                        <a14:useLocalDpi xmlns:a14="http://schemas.microsoft.com/office/drawing/2010/main" val="0"/>
                      </a:ext>
                    </a:extLst>
                  </a:blip>
                  <a:stretch>
                    <a:fillRect/>
                  </a:stretch>
                </pic:blipFill>
                <pic:spPr>
                  <a:xfrm>
                    <a:off x="0" y="0"/>
                    <a:ext cx="5612130" cy="680275"/>
                  </a:xfrm>
                  <a:prstGeom prst="rect">
                    <a:avLst/>
                  </a:prstGeom>
                </pic:spPr>
              </pic:pic>
            </a:graphicData>
          </a:graphic>
        </wp:inline>
      </w:drawing>
    </w:r>
    <w:r w:rsidRPr="00A44284">
      <w:rPr>
        <w:rFonts w:ascii="Arial" w:hAnsi="Arial" w:cs="Arial"/>
        <w:color w:val="404040" w:themeColor="text1" w:themeTint="BF"/>
        <w:sz w:val="12"/>
        <w:szCs w:val="12"/>
        <w:lang w:val="es-ES"/>
      </w:rPr>
      <w:t xml:space="preserve"> </w:t>
    </w:r>
    <w:r w:rsidRPr="00DE0475">
      <w:rPr>
        <w:rFonts w:ascii="Arial" w:hAnsi="Arial" w:cs="Arial"/>
        <w:color w:val="404040" w:themeColor="text1" w:themeTint="BF"/>
        <w:sz w:val="12"/>
        <w:szCs w:val="12"/>
        <w:lang w:val="es-ES"/>
      </w:rPr>
      <w:t xml:space="preserve">Página </w:t>
    </w:r>
    <w:r w:rsidRPr="00DE0475">
      <w:rPr>
        <w:rFonts w:ascii="Arial" w:hAnsi="Arial" w:cs="Arial"/>
        <w:color w:val="404040" w:themeColor="text1" w:themeTint="BF"/>
        <w:sz w:val="12"/>
        <w:szCs w:val="12"/>
      </w:rPr>
      <w:fldChar w:fldCharType="begin"/>
    </w:r>
    <w:r w:rsidRPr="00DE0475">
      <w:rPr>
        <w:rFonts w:ascii="Arial" w:hAnsi="Arial" w:cs="Arial"/>
        <w:color w:val="404040" w:themeColor="text1" w:themeTint="BF"/>
        <w:sz w:val="12"/>
        <w:szCs w:val="12"/>
      </w:rPr>
      <w:instrText>PAGE  \* Arabic  \* MERGEFORMAT</w:instrText>
    </w:r>
    <w:r w:rsidRPr="00DE0475">
      <w:rPr>
        <w:rFonts w:ascii="Arial" w:hAnsi="Arial" w:cs="Arial"/>
        <w:color w:val="404040" w:themeColor="text1" w:themeTint="BF"/>
        <w:sz w:val="12"/>
        <w:szCs w:val="12"/>
      </w:rPr>
      <w:fldChar w:fldCharType="separate"/>
    </w:r>
    <w:r w:rsidR="006432ED" w:rsidRPr="006432ED">
      <w:rPr>
        <w:rFonts w:ascii="Arial" w:hAnsi="Arial" w:cs="Arial"/>
        <w:noProof/>
        <w:color w:val="404040" w:themeColor="text1" w:themeTint="BF"/>
        <w:sz w:val="12"/>
        <w:szCs w:val="12"/>
        <w:lang w:val="es-ES"/>
      </w:rPr>
      <w:t>21</w:t>
    </w:r>
    <w:r w:rsidRPr="00DE0475">
      <w:rPr>
        <w:rFonts w:ascii="Arial" w:hAnsi="Arial" w:cs="Arial"/>
        <w:color w:val="404040" w:themeColor="text1" w:themeTint="BF"/>
        <w:sz w:val="12"/>
        <w:szCs w:val="12"/>
      </w:rPr>
      <w:fldChar w:fldCharType="end"/>
    </w:r>
    <w:r w:rsidRPr="00DE0475">
      <w:rPr>
        <w:rFonts w:ascii="Arial" w:hAnsi="Arial" w:cs="Arial"/>
        <w:color w:val="404040" w:themeColor="text1" w:themeTint="BF"/>
        <w:sz w:val="12"/>
        <w:szCs w:val="12"/>
        <w:lang w:val="es-ES"/>
      </w:rPr>
      <w:t xml:space="preserve"> de </w:t>
    </w:r>
    <w:r w:rsidRPr="00DE0475">
      <w:rPr>
        <w:rFonts w:ascii="Arial" w:hAnsi="Arial" w:cs="Arial"/>
        <w:color w:val="404040" w:themeColor="text1" w:themeTint="BF"/>
        <w:sz w:val="12"/>
        <w:szCs w:val="12"/>
      </w:rPr>
      <w:fldChar w:fldCharType="begin"/>
    </w:r>
    <w:r w:rsidRPr="00DE0475">
      <w:rPr>
        <w:rFonts w:ascii="Arial" w:hAnsi="Arial" w:cs="Arial"/>
        <w:color w:val="404040" w:themeColor="text1" w:themeTint="BF"/>
        <w:sz w:val="12"/>
        <w:szCs w:val="12"/>
      </w:rPr>
      <w:instrText>NUMPAGES  \* Arabic  \* MERGEFORMAT</w:instrText>
    </w:r>
    <w:r w:rsidRPr="00DE0475">
      <w:rPr>
        <w:rFonts w:ascii="Arial" w:hAnsi="Arial" w:cs="Arial"/>
        <w:color w:val="404040" w:themeColor="text1" w:themeTint="BF"/>
        <w:sz w:val="12"/>
        <w:szCs w:val="12"/>
      </w:rPr>
      <w:fldChar w:fldCharType="separate"/>
    </w:r>
    <w:r w:rsidR="006432ED" w:rsidRPr="006432ED">
      <w:rPr>
        <w:rFonts w:ascii="Arial" w:hAnsi="Arial" w:cs="Arial"/>
        <w:noProof/>
        <w:color w:val="404040" w:themeColor="text1" w:themeTint="BF"/>
        <w:sz w:val="12"/>
        <w:szCs w:val="12"/>
        <w:lang w:val="es-ES"/>
      </w:rPr>
      <w:t>36</w:t>
    </w:r>
    <w:r w:rsidRPr="00DE0475">
      <w:rPr>
        <w:rFonts w:ascii="Arial" w:hAnsi="Arial" w:cs="Arial"/>
        <w:color w:val="404040" w:themeColor="text1" w:themeTint="BF"/>
        <w:sz w:val="12"/>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71E6" w:rsidRDefault="000371E6" w:rsidP="00600F9C">
      <w:pPr>
        <w:spacing w:after="0" w:line="240" w:lineRule="auto"/>
      </w:pPr>
      <w:r>
        <w:separator/>
      </w:r>
    </w:p>
  </w:footnote>
  <w:footnote w:type="continuationSeparator" w:id="0">
    <w:p w:rsidR="000371E6" w:rsidRDefault="000371E6" w:rsidP="00600F9C">
      <w:pPr>
        <w:spacing w:after="0" w:line="240" w:lineRule="auto"/>
      </w:pPr>
      <w:r>
        <w:continuationSeparator/>
      </w:r>
    </w:p>
  </w:footnote>
  <w:footnote w:id="1">
    <w:p w:rsidR="00A44284" w:rsidRDefault="00A44284" w:rsidP="00600F9C">
      <w:pPr>
        <w:pStyle w:val="Textonotapie"/>
        <w:rPr>
          <w:rFonts w:ascii="Arial" w:hAnsi="Arial" w:cs="Arial"/>
          <w:lang w:val="es-MX"/>
        </w:rPr>
      </w:pPr>
      <w:r>
        <w:rPr>
          <w:rStyle w:val="Refdenotaalpie"/>
          <w:rFonts w:ascii="Arial" w:hAnsi="Arial" w:cs="Arial"/>
          <w:sz w:val="16"/>
        </w:rPr>
        <w:footnoteRef/>
      </w:r>
      <w:r>
        <w:rPr>
          <w:rFonts w:ascii="Arial" w:hAnsi="Arial" w:cs="Arial"/>
          <w:sz w:val="16"/>
        </w:rPr>
        <w:t xml:space="preserve"> </w:t>
      </w:r>
      <w:r>
        <w:rPr>
          <w:rFonts w:ascii="Arial" w:hAnsi="Arial" w:cs="Arial"/>
          <w:sz w:val="14"/>
          <w:lang w:val="es-MX"/>
        </w:rPr>
        <w:t>De los planes del Sistema de Gestión de Seguridad de la Información – SGSI y Responsabilidad Social - SRS se solicitó modificación de algunas actividades para iniciar su ejecución para el año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4284" w:rsidRDefault="00A44284" w:rsidP="00A44284">
    <w:pPr>
      <w:pStyle w:val="Encabezado"/>
      <w:jc w:val="center"/>
    </w:pPr>
    <w:r>
      <w:rPr>
        <w:noProof/>
        <w:lang w:eastAsia="es-CO"/>
      </w:rPr>
      <w:drawing>
        <wp:inline distT="0" distB="0" distL="0" distR="0" wp14:anchorId="554C507B" wp14:editId="6BB853A6">
          <wp:extent cx="2520315" cy="430530"/>
          <wp:effectExtent l="0" t="0" r="0" b="762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 EAB 7 CM.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0315" cy="43053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070B9"/>
    <w:multiLevelType w:val="hybridMultilevel"/>
    <w:tmpl w:val="6D40C69C"/>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 w15:restartNumberingAfterBreak="0">
    <w:nsid w:val="079F0419"/>
    <w:multiLevelType w:val="hybridMultilevel"/>
    <w:tmpl w:val="A606C812"/>
    <w:lvl w:ilvl="0" w:tplc="240A0001">
      <w:start w:val="1"/>
      <w:numFmt w:val="bullet"/>
      <w:lvlText w:val=""/>
      <w:lvlJc w:val="left"/>
      <w:pPr>
        <w:ind w:left="1080" w:hanging="360"/>
      </w:pPr>
      <w:rPr>
        <w:rFonts w:ascii="Symbol" w:hAnsi="Symbol" w:hint="default"/>
      </w:rPr>
    </w:lvl>
    <w:lvl w:ilvl="1" w:tplc="240A0003">
      <w:start w:val="1"/>
      <w:numFmt w:val="bullet"/>
      <w:lvlText w:val="o"/>
      <w:lvlJc w:val="left"/>
      <w:pPr>
        <w:ind w:left="1800" w:hanging="360"/>
      </w:pPr>
      <w:rPr>
        <w:rFonts w:ascii="Courier New" w:hAnsi="Courier New" w:cs="Courier New" w:hint="default"/>
      </w:rPr>
    </w:lvl>
    <w:lvl w:ilvl="2" w:tplc="240A0005">
      <w:start w:val="1"/>
      <w:numFmt w:val="bullet"/>
      <w:lvlText w:val=""/>
      <w:lvlJc w:val="left"/>
      <w:pPr>
        <w:ind w:left="2520" w:hanging="360"/>
      </w:pPr>
      <w:rPr>
        <w:rFonts w:ascii="Wingdings" w:hAnsi="Wingdings" w:hint="default"/>
      </w:rPr>
    </w:lvl>
    <w:lvl w:ilvl="3" w:tplc="240A0001">
      <w:start w:val="1"/>
      <w:numFmt w:val="bullet"/>
      <w:lvlText w:val=""/>
      <w:lvlJc w:val="left"/>
      <w:pPr>
        <w:ind w:left="3240" w:hanging="360"/>
      </w:pPr>
      <w:rPr>
        <w:rFonts w:ascii="Symbol" w:hAnsi="Symbol" w:hint="default"/>
      </w:rPr>
    </w:lvl>
    <w:lvl w:ilvl="4" w:tplc="240A0003">
      <w:start w:val="1"/>
      <w:numFmt w:val="bullet"/>
      <w:lvlText w:val="o"/>
      <w:lvlJc w:val="left"/>
      <w:pPr>
        <w:ind w:left="3960" w:hanging="360"/>
      </w:pPr>
      <w:rPr>
        <w:rFonts w:ascii="Courier New" w:hAnsi="Courier New" w:cs="Courier New" w:hint="default"/>
      </w:rPr>
    </w:lvl>
    <w:lvl w:ilvl="5" w:tplc="240A0005">
      <w:start w:val="1"/>
      <w:numFmt w:val="bullet"/>
      <w:lvlText w:val=""/>
      <w:lvlJc w:val="left"/>
      <w:pPr>
        <w:ind w:left="4680" w:hanging="360"/>
      </w:pPr>
      <w:rPr>
        <w:rFonts w:ascii="Wingdings" w:hAnsi="Wingdings" w:hint="default"/>
      </w:rPr>
    </w:lvl>
    <w:lvl w:ilvl="6" w:tplc="240A0001">
      <w:start w:val="1"/>
      <w:numFmt w:val="bullet"/>
      <w:lvlText w:val=""/>
      <w:lvlJc w:val="left"/>
      <w:pPr>
        <w:ind w:left="5400" w:hanging="360"/>
      </w:pPr>
      <w:rPr>
        <w:rFonts w:ascii="Symbol" w:hAnsi="Symbol" w:hint="default"/>
      </w:rPr>
    </w:lvl>
    <w:lvl w:ilvl="7" w:tplc="240A0003">
      <w:start w:val="1"/>
      <w:numFmt w:val="bullet"/>
      <w:lvlText w:val="o"/>
      <w:lvlJc w:val="left"/>
      <w:pPr>
        <w:ind w:left="6120" w:hanging="360"/>
      </w:pPr>
      <w:rPr>
        <w:rFonts w:ascii="Courier New" w:hAnsi="Courier New" w:cs="Courier New" w:hint="default"/>
      </w:rPr>
    </w:lvl>
    <w:lvl w:ilvl="8" w:tplc="240A0005">
      <w:start w:val="1"/>
      <w:numFmt w:val="bullet"/>
      <w:lvlText w:val=""/>
      <w:lvlJc w:val="left"/>
      <w:pPr>
        <w:ind w:left="6840" w:hanging="360"/>
      </w:pPr>
      <w:rPr>
        <w:rFonts w:ascii="Wingdings" w:hAnsi="Wingdings" w:hint="default"/>
      </w:rPr>
    </w:lvl>
  </w:abstractNum>
  <w:abstractNum w:abstractNumId="2" w15:restartNumberingAfterBreak="0">
    <w:nsid w:val="0F752C4A"/>
    <w:multiLevelType w:val="hybridMultilevel"/>
    <w:tmpl w:val="F9CA5C68"/>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97375F9"/>
    <w:multiLevelType w:val="hybridMultilevel"/>
    <w:tmpl w:val="1206EE94"/>
    <w:lvl w:ilvl="0" w:tplc="240A000D">
      <w:start w:val="1"/>
      <w:numFmt w:val="bullet"/>
      <w:lvlText w:val=""/>
      <w:lvlJc w:val="left"/>
      <w:pPr>
        <w:ind w:left="360" w:hanging="360"/>
      </w:pPr>
      <w:rPr>
        <w:rFonts w:ascii="Wingdings" w:hAnsi="Wingdings" w:hint="default"/>
      </w:rPr>
    </w:lvl>
    <w:lvl w:ilvl="1" w:tplc="240A0003">
      <w:start w:val="1"/>
      <w:numFmt w:val="bullet"/>
      <w:lvlText w:val="o"/>
      <w:lvlJc w:val="left"/>
      <w:pPr>
        <w:ind w:left="2250" w:hanging="360"/>
      </w:pPr>
      <w:rPr>
        <w:rFonts w:ascii="Courier New" w:hAnsi="Courier New" w:cs="Courier New" w:hint="default"/>
      </w:rPr>
    </w:lvl>
    <w:lvl w:ilvl="2" w:tplc="240A0005" w:tentative="1">
      <w:start w:val="1"/>
      <w:numFmt w:val="bullet"/>
      <w:lvlText w:val=""/>
      <w:lvlJc w:val="left"/>
      <w:pPr>
        <w:ind w:left="2970" w:hanging="360"/>
      </w:pPr>
      <w:rPr>
        <w:rFonts w:ascii="Wingdings" w:hAnsi="Wingdings" w:hint="default"/>
      </w:rPr>
    </w:lvl>
    <w:lvl w:ilvl="3" w:tplc="240A0001" w:tentative="1">
      <w:start w:val="1"/>
      <w:numFmt w:val="bullet"/>
      <w:lvlText w:val=""/>
      <w:lvlJc w:val="left"/>
      <w:pPr>
        <w:ind w:left="3690" w:hanging="360"/>
      </w:pPr>
      <w:rPr>
        <w:rFonts w:ascii="Symbol" w:hAnsi="Symbol" w:hint="default"/>
      </w:rPr>
    </w:lvl>
    <w:lvl w:ilvl="4" w:tplc="240A0003" w:tentative="1">
      <w:start w:val="1"/>
      <w:numFmt w:val="bullet"/>
      <w:lvlText w:val="o"/>
      <w:lvlJc w:val="left"/>
      <w:pPr>
        <w:ind w:left="4410" w:hanging="360"/>
      </w:pPr>
      <w:rPr>
        <w:rFonts w:ascii="Courier New" w:hAnsi="Courier New" w:cs="Courier New" w:hint="default"/>
      </w:rPr>
    </w:lvl>
    <w:lvl w:ilvl="5" w:tplc="240A0005" w:tentative="1">
      <w:start w:val="1"/>
      <w:numFmt w:val="bullet"/>
      <w:lvlText w:val=""/>
      <w:lvlJc w:val="left"/>
      <w:pPr>
        <w:ind w:left="5130" w:hanging="360"/>
      </w:pPr>
      <w:rPr>
        <w:rFonts w:ascii="Wingdings" w:hAnsi="Wingdings" w:hint="default"/>
      </w:rPr>
    </w:lvl>
    <w:lvl w:ilvl="6" w:tplc="240A0001" w:tentative="1">
      <w:start w:val="1"/>
      <w:numFmt w:val="bullet"/>
      <w:lvlText w:val=""/>
      <w:lvlJc w:val="left"/>
      <w:pPr>
        <w:ind w:left="5850" w:hanging="360"/>
      </w:pPr>
      <w:rPr>
        <w:rFonts w:ascii="Symbol" w:hAnsi="Symbol" w:hint="default"/>
      </w:rPr>
    </w:lvl>
    <w:lvl w:ilvl="7" w:tplc="240A0003" w:tentative="1">
      <w:start w:val="1"/>
      <w:numFmt w:val="bullet"/>
      <w:lvlText w:val="o"/>
      <w:lvlJc w:val="left"/>
      <w:pPr>
        <w:ind w:left="6570" w:hanging="360"/>
      </w:pPr>
      <w:rPr>
        <w:rFonts w:ascii="Courier New" w:hAnsi="Courier New" w:cs="Courier New" w:hint="default"/>
      </w:rPr>
    </w:lvl>
    <w:lvl w:ilvl="8" w:tplc="240A0005" w:tentative="1">
      <w:start w:val="1"/>
      <w:numFmt w:val="bullet"/>
      <w:lvlText w:val=""/>
      <w:lvlJc w:val="left"/>
      <w:pPr>
        <w:ind w:left="7290" w:hanging="360"/>
      </w:pPr>
      <w:rPr>
        <w:rFonts w:ascii="Wingdings" w:hAnsi="Wingdings" w:hint="default"/>
      </w:rPr>
    </w:lvl>
  </w:abstractNum>
  <w:abstractNum w:abstractNumId="4" w15:restartNumberingAfterBreak="0">
    <w:nsid w:val="22D45230"/>
    <w:multiLevelType w:val="hybridMultilevel"/>
    <w:tmpl w:val="96B08450"/>
    <w:lvl w:ilvl="0" w:tplc="240A000D">
      <w:start w:val="1"/>
      <w:numFmt w:val="bullet"/>
      <w:lvlText w:val=""/>
      <w:lvlJc w:val="left"/>
      <w:pPr>
        <w:ind w:left="153" w:hanging="360"/>
      </w:pPr>
      <w:rPr>
        <w:rFonts w:ascii="Wingdings" w:hAnsi="Wingdings" w:hint="default"/>
      </w:rPr>
    </w:lvl>
    <w:lvl w:ilvl="1" w:tplc="240A0003" w:tentative="1">
      <w:start w:val="1"/>
      <w:numFmt w:val="bullet"/>
      <w:lvlText w:val="o"/>
      <w:lvlJc w:val="left"/>
      <w:pPr>
        <w:ind w:left="873" w:hanging="360"/>
      </w:pPr>
      <w:rPr>
        <w:rFonts w:ascii="Courier New" w:hAnsi="Courier New" w:cs="Courier New" w:hint="default"/>
      </w:rPr>
    </w:lvl>
    <w:lvl w:ilvl="2" w:tplc="240A0005" w:tentative="1">
      <w:start w:val="1"/>
      <w:numFmt w:val="bullet"/>
      <w:lvlText w:val=""/>
      <w:lvlJc w:val="left"/>
      <w:pPr>
        <w:ind w:left="1593" w:hanging="360"/>
      </w:pPr>
      <w:rPr>
        <w:rFonts w:ascii="Wingdings" w:hAnsi="Wingdings" w:hint="default"/>
      </w:rPr>
    </w:lvl>
    <w:lvl w:ilvl="3" w:tplc="240A0001" w:tentative="1">
      <w:start w:val="1"/>
      <w:numFmt w:val="bullet"/>
      <w:lvlText w:val=""/>
      <w:lvlJc w:val="left"/>
      <w:pPr>
        <w:ind w:left="2313" w:hanging="360"/>
      </w:pPr>
      <w:rPr>
        <w:rFonts w:ascii="Symbol" w:hAnsi="Symbol" w:hint="default"/>
      </w:rPr>
    </w:lvl>
    <w:lvl w:ilvl="4" w:tplc="240A0003" w:tentative="1">
      <w:start w:val="1"/>
      <w:numFmt w:val="bullet"/>
      <w:lvlText w:val="o"/>
      <w:lvlJc w:val="left"/>
      <w:pPr>
        <w:ind w:left="3033" w:hanging="360"/>
      </w:pPr>
      <w:rPr>
        <w:rFonts w:ascii="Courier New" w:hAnsi="Courier New" w:cs="Courier New" w:hint="default"/>
      </w:rPr>
    </w:lvl>
    <w:lvl w:ilvl="5" w:tplc="240A0005" w:tentative="1">
      <w:start w:val="1"/>
      <w:numFmt w:val="bullet"/>
      <w:lvlText w:val=""/>
      <w:lvlJc w:val="left"/>
      <w:pPr>
        <w:ind w:left="3753" w:hanging="360"/>
      </w:pPr>
      <w:rPr>
        <w:rFonts w:ascii="Wingdings" w:hAnsi="Wingdings" w:hint="default"/>
      </w:rPr>
    </w:lvl>
    <w:lvl w:ilvl="6" w:tplc="240A0001" w:tentative="1">
      <w:start w:val="1"/>
      <w:numFmt w:val="bullet"/>
      <w:lvlText w:val=""/>
      <w:lvlJc w:val="left"/>
      <w:pPr>
        <w:ind w:left="4473" w:hanging="360"/>
      </w:pPr>
      <w:rPr>
        <w:rFonts w:ascii="Symbol" w:hAnsi="Symbol" w:hint="default"/>
      </w:rPr>
    </w:lvl>
    <w:lvl w:ilvl="7" w:tplc="240A0003" w:tentative="1">
      <w:start w:val="1"/>
      <w:numFmt w:val="bullet"/>
      <w:lvlText w:val="o"/>
      <w:lvlJc w:val="left"/>
      <w:pPr>
        <w:ind w:left="5193" w:hanging="360"/>
      </w:pPr>
      <w:rPr>
        <w:rFonts w:ascii="Courier New" w:hAnsi="Courier New" w:cs="Courier New" w:hint="default"/>
      </w:rPr>
    </w:lvl>
    <w:lvl w:ilvl="8" w:tplc="240A0005" w:tentative="1">
      <w:start w:val="1"/>
      <w:numFmt w:val="bullet"/>
      <w:lvlText w:val=""/>
      <w:lvlJc w:val="left"/>
      <w:pPr>
        <w:ind w:left="5913" w:hanging="360"/>
      </w:pPr>
      <w:rPr>
        <w:rFonts w:ascii="Wingdings" w:hAnsi="Wingdings" w:hint="default"/>
      </w:rPr>
    </w:lvl>
  </w:abstractNum>
  <w:abstractNum w:abstractNumId="5" w15:restartNumberingAfterBreak="0">
    <w:nsid w:val="2DC766DC"/>
    <w:multiLevelType w:val="multilevel"/>
    <w:tmpl w:val="FFFFFFFF"/>
    <w:lvl w:ilvl="0">
      <w:start w:val="1"/>
      <w:numFmt w:val="bullet"/>
      <w:lvlText w:val="§"/>
      <w:lvlJc w:val="left"/>
      <w:pPr>
        <w:ind w:left="360" w:hanging="360"/>
      </w:pPr>
      <w:rPr>
        <w:rFonts w:ascii="Wingdings" w:hAnsi="Wingdings" w:cs="Wingdings"/>
        <w:color w:val="000000"/>
        <w:sz w:val="22"/>
        <w:szCs w:val="22"/>
      </w:rPr>
    </w:lvl>
    <w:lvl w:ilvl="1">
      <w:start w:val="1"/>
      <w:numFmt w:val="bullet"/>
      <w:lvlText w:val="o"/>
      <w:lvlJc w:val="left"/>
      <w:pPr>
        <w:ind w:left="1080" w:hanging="360"/>
      </w:pPr>
      <w:rPr>
        <w:rFonts w:ascii="Courier New" w:hAnsi="Courier New" w:cs="Courier New"/>
        <w:color w:val="000000"/>
        <w:sz w:val="22"/>
        <w:szCs w:val="22"/>
      </w:rPr>
    </w:lvl>
    <w:lvl w:ilvl="2">
      <w:start w:val="1"/>
      <w:numFmt w:val="bullet"/>
      <w:lvlText w:val="§"/>
      <w:lvlJc w:val="left"/>
      <w:pPr>
        <w:ind w:left="1800" w:hanging="360"/>
      </w:pPr>
      <w:rPr>
        <w:rFonts w:ascii="Wingdings" w:hAnsi="Wingdings" w:cs="Wingdings"/>
        <w:color w:val="000000"/>
        <w:sz w:val="22"/>
        <w:szCs w:val="22"/>
      </w:rPr>
    </w:lvl>
    <w:lvl w:ilvl="3">
      <w:start w:val="1"/>
      <w:numFmt w:val="bullet"/>
      <w:lvlText w:val="·"/>
      <w:lvlJc w:val="left"/>
      <w:pPr>
        <w:ind w:left="2520" w:hanging="360"/>
      </w:pPr>
      <w:rPr>
        <w:rFonts w:ascii="Symbol" w:hAnsi="Symbol" w:cs="Symbol"/>
        <w:color w:val="000000"/>
        <w:sz w:val="22"/>
        <w:szCs w:val="22"/>
      </w:rPr>
    </w:lvl>
    <w:lvl w:ilvl="4">
      <w:start w:val="1"/>
      <w:numFmt w:val="bullet"/>
      <w:lvlText w:val="o"/>
      <w:lvlJc w:val="left"/>
      <w:pPr>
        <w:ind w:left="3240" w:hanging="360"/>
      </w:pPr>
      <w:rPr>
        <w:rFonts w:ascii="Courier New" w:hAnsi="Courier New" w:cs="Courier New"/>
        <w:color w:val="000000"/>
        <w:sz w:val="22"/>
        <w:szCs w:val="22"/>
      </w:rPr>
    </w:lvl>
    <w:lvl w:ilvl="5">
      <w:start w:val="1"/>
      <w:numFmt w:val="bullet"/>
      <w:lvlText w:val="§"/>
      <w:lvlJc w:val="left"/>
      <w:pPr>
        <w:ind w:left="3960" w:hanging="360"/>
      </w:pPr>
      <w:rPr>
        <w:rFonts w:ascii="Wingdings" w:hAnsi="Wingdings" w:cs="Wingdings"/>
        <w:color w:val="000000"/>
        <w:sz w:val="22"/>
        <w:szCs w:val="22"/>
      </w:rPr>
    </w:lvl>
    <w:lvl w:ilvl="6">
      <w:start w:val="1"/>
      <w:numFmt w:val="bullet"/>
      <w:lvlText w:val="·"/>
      <w:lvlJc w:val="left"/>
      <w:pPr>
        <w:ind w:left="4680" w:hanging="360"/>
      </w:pPr>
      <w:rPr>
        <w:rFonts w:ascii="Symbol" w:hAnsi="Symbol" w:cs="Symbol"/>
        <w:color w:val="000000"/>
        <w:sz w:val="22"/>
        <w:szCs w:val="22"/>
      </w:rPr>
    </w:lvl>
    <w:lvl w:ilvl="7">
      <w:start w:val="1"/>
      <w:numFmt w:val="bullet"/>
      <w:lvlText w:val="o"/>
      <w:lvlJc w:val="left"/>
      <w:pPr>
        <w:ind w:left="5400" w:hanging="360"/>
      </w:pPr>
      <w:rPr>
        <w:rFonts w:ascii="Courier New" w:hAnsi="Courier New" w:cs="Courier New"/>
        <w:color w:val="000000"/>
        <w:sz w:val="22"/>
        <w:szCs w:val="22"/>
      </w:rPr>
    </w:lvl>
    <w:lvl w:ilvl="8">
      <w:start w:val="1"/>
      <w:numFmt w:val="bullet"/>
      <w:lvlText w:val="§"/>
      <w:lvlJc w:val="left"/>
      <w:pPr>
        <w:ind w:left="6120" w:hanging="360"/>
      </w:pPr>
      <w:rPr>
        <w:rFonts w:ascii="Wingdings" w:hAnsi="Wingdings" w:cs="Wingdings"/>
        <w:color w:val="000000"/>
        <w:sz w:val="22"/>
        <w:szCs w:val="22"/>
      </w:rPr>
    </w:lvl>
  </w:abstractNum>
  <w:abstractNum w:abstractNumId="6" w15:restartNumberingAfterBreak="0">
    <w:nsid w:val="3399321D"/>
    <w:multiLevelType w:val="hybridMultilevel"/>
    <w:tmpl w:val="91B0B926"/>
    <w:lvl w:ilvl="0" w:tplc="B67E8772">
      <w:numFmt w:val="bullet"/>
      <w:lvlText w:val="-"/>
      <w:lvlJc w:val="left"/>
      <w:pPr>
        <w:ind w:left="720" w:hanging="360"/>
      </w:pPr>
      <w:rPr>
        <w:rFonts w:ascii="Arial Narrow" w:eastAsia="Times New Roman" w:hAnsi="Arial Narrow"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35D45067"/>
    <w:multiLevelType w:val="hybridMultilevel"/>
    <w:tmpl w:val="AEB4CFE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3C2E69C1"/>
    <w:multiLevelType w:val="hybridMultilevel"/>
    <w:tmpl w:val="334AE40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4D6143F1"/>
    <w:multiLevelType w:val="hybridMultilevel"/>
    <w:tmpl w:val="6004D0A0"/>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4E305931"/>
    <w:multiLevelType w:val="hybridMultilevel"/>
    <w:tmpl w:val="D7740C4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4EF263AE"/>
    <w:multiLevelType w:val="hybridMultilevel"/>
    <w:tmpl w:val="8C120E50"/>
    <w:lvl w:ilvl="0" w:tplc="240A000D">
      <w:start w:val="1"/>
      <w:numFmt w:val="bullet"/>
      <w:lvlText w:val=""/>
      <w:lvlJc w:val="left"/>
      <w:pPr>
        <w:ind w:left="644" w:hanging="360"/>
      </w:pPr>
      <w:rPr>
        <w:rFonts w:ascii="Wingdings" w:hAnsi="Wingdings" w:hint="default"/>
      </w:rPr>
    </w:lvl>
    <w:lvl w:ilvl="1" w:tplc="240A0003" w:tentative="1">
      <w:start w:val="1"/>
      <w:numFmt w:val="bullet"/>
      <w:lvlText w:val="o"/>
      <w:lvlJc w:val="left"/>
      <w:pPr>
        <w:ind w:left="1364" w:hanging="360"/>
      </w:pPr>
      <w:rPr>
        <w:rFonts w:ascii="Courier New" w:hAnsi="Courier New" w:cs="Courier New" w:hint="default"/>
      </w:rPr>
    </w:lvl>
    <w:lvl w:ilvl="2" w:tplc="240A0005" w:tentative="1">
      <w:start w:val="1"/>
      <w:numFmt w:val="bullet"/>
      <w:lvlText w:val=""/>
      <w:lvlJc w:val="left"/>
      <w:pPr>
        <w:ind w:left="2084" w:hanging="360"/>
      </w:pPr>
      <w:rPr>
        <w:rFonts w:ascii="Wingdings" w:hAnsi="Wingdings" w:hint="default"/>
      </w:rPr>
    </w:lvl>
    <w:lvl w:ilvl="3" w:tplc="240A0001" w:tentative="1">
      <w:start w:val="1"/>
      <w:numFmt w:val="bullet"/>
      <w:lvlText w:val=""/>
      <w:lvlJc w:val="left"/>
      <w:pPr>
        <w:ind w:left="2804" w:hanging="360"/>
      </w:pPr>
      <w:rPr>
        <w:rFonts w:ascii="Symbol" w:hAnsi="Symbol" w:hint="default"/>
      </w:rPr>
    </w:lvl>
    <w:lvl w:ilvl="4" w:tplc="240A0003" w:tentative="1">
      <w:start w:val="1"/>
      <w:numFmt w:val="bullet"/>
      <w:lvlText w:val="o"/>
      <w:lvlJc w:val="left"/>
      <w:pPr>
        <w:ind w:left="3524" w:hanging="360"/>
      </w:pPr>
      <w:rPr>
        <w:rFonts w:ascii="Courier New" w:hAnsi="Courier New" w:cs="Courier New" w:hint="default"/>
      </w:rPr>
    </w:lvl>
    <w:lvl w:ilvl="5" w:tplc="240A0005" w:tentative="1">
      <w:start w:val="1"/>
      <w:numFmt w:val="bullet"/>
      <w:lvlText w:val=""/>
      <w:lvlJc w:val="left"/>
      <w:pPr>
        <w:ind w:left="4244" w:hanging="360"/>
      </w:pPr>
      <w:rPr>
        <w:rFonts w:ascii="Wingdings" w:hAnsi="Wingdings" w:hint="default"/>
      </w:rPr>
    </w:lvl>
    <w:lvl w:ilvl="6" w:tplc="240A0001" w:tentative="1">
      <w:start w:val="1"/>
      <w:numFmt w:val="bullet"/>
      <w:lvlText w:val=""/>
      <w:lvlJc w:val="left"/>
      <w:pPr>
        <w:ind w:left="4964" w:hanging="360"/>
      </w:pPr>
      <w:rPr>
        <w:rFonts w:ascii="Symbol" w:hAnsi="Symbol" w:hint="default"/>
      </w:rPr>
    </w:lvl>
    <w:lvl w:ilvl="7" w:tplc="240A0003" w:tentative="1">
      <w:start w:val="1"/>
      <w:numFmt w:val="bullet"/>
      <w:lvlText w:val="o"/>
      <w:lvlJc w:val="left"/>
      <w:pPr>
        <w:ind w:left="5684" w:hanging="360"/>
      </w:pPr>
      <w:rPr>
        <w:rFonts w:ascii="Courier New" w:hAnsi="Courier New" w:cs="Courier New" w:hint="default"/>
      </w:rPr>
    </w:lvl>
    <w:lvl w:ilvl="8" w:tplc="240A0005" w:tentative="1">
      <w:start w:val="1"/>
      <w:numFmt w:val="bullet"/>
      <w:lvlText w:val=""/>
      <w:lvlJc w:val="left"/>
      <w:pPr>
        <w:ind w:left="6404" w:hanging="360"/>
      </w:pPr>
      <w:rPr>
        <w:rFonts w:ascii="Wingdings" w:hAnsi="Wingdings" w:hint="default"/>
      </w:rPr>
    </w:lvl>
  </w:abstractNum>
  <w:abstractNum w:abstractNumId="12" w15:restartNumberingAfterBreak="0">
    <w:nsid w:val="55574308"/>
    <w:multiLevelType w:val="multilevel"/>
    <w:tmpl w:val="AB045738"/>
    <w:lvl w:ilvl="0">
      <w:start w:val="1"/>
      <w:numFmt w:val="decimal"/>
      <w:lvlText w:val="%1."/>
      <w:lvlJc w:val="left"/>
      <w:pPr>
        <w:ind w:left="720" w:hanging="360"/>
      </w:pPr>
      <w:rPr>
        <w:rFonts w:hint="default"/>
      </w:rPr>
    </w:lvl>
    <w:lvl w:ilvl="1">
      <w:start w:val="3"/>
      <w:numFmt w:val="decimal"/>
      <w:isLgl/>
      <w:lvlText w:val="%1.%2"/>
      <w:lvlJc w:val="left"/>
      <w:pPr>
        <w:ind w:left="1155" w:hanging="43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3" w15:restartNumberingAfterBreak="0">
    <w:nsid w:val="57D25912"/>
    <w:multiLevelType w:val="hybridMultilevel"/>
    <w:tmpl w:val="491895E0"/>
    <w:lvl w:ilvl="0" w:tplc="C3A8A780">
      <w:start w:val="2"/>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5A7053F5"/>
    <w:multiLevelType w:val="hybridMultilevel"/>
    <w:tmpl w:val="C4407AEA"/>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5" w15:restartNumberingAfterBreak="0">
    <w:nsid w:val="64997D92"/>
    <w:multiLevelType w:val="hybridMultilevel"/>
    <w:tmpl w:val="AB72ABB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64D04894"/>
    <w:multiLevelType w:val="hybridMultilevel"/>
    <w:tmpl w:val="9C1427AA"/>
    <w:lvl w:ilvl="0" w:tplc="7EE23780">
      <w:start w:val="2"/>
      <w:numFmt w:val="bullet"/>
      <w:lvlText w:val="-"/>
      <w:lvlJc w:val="left"/>
      <w:pPr>
        <w:ind w:left="-66" w:hanging="360"/>
      </w:pPr>
      <w:rPr>
        <w:rFonts w:ascii="Arial" w:eastAsiaTheme="minorHAnsi" w:hAnsi="Arial" w:cs="Arial" w:hint="default"/>
      </w:rPr>
    </w:lvl>
    <w:lvl w:ilvl="1" w:tplc="240A0003" w:tentative="1">
      <w:start w:val="1"/>
      <w:numFmt w:val="bullet"/>
      <w:lvlText w:val="o"/>
      <w:lvlJc w:val="left"/>
      <w:pPr>
        <w:ind w:left="654" w:hanging="360"/>
      </w:pPr>
      <w:rPr>
        <w:rFonts w:ascii="Courier New" w:hAnsi="Courier New" w:cs="Courier New" w:hint="default"/>
      </w:rPr>
    </w:lvl>
    <w:lvl w:ilvl="2" w:tplc="240A0005" w:tentative="1">
      <w:start w:val="1"/>
      <w:numFmt w:val="bullet"/>
      <w:lvlText w:val=""/>
      <w:lvlJc w:val="left"/>
      <w:pPr>
        <w:ind w:left="1374" w:hanging="360"/>
      </w:pPr>
      <w:rPr>
        <w:rFonts w:ascii="Wingdings" w:hAnsi="Wingdings" w:hint="default"/>
      </w:rPr>
    </w:lvl>
    <w:lvl w:ilvl="3" w:tplc="240A0001" w:tentative="1">
      <w:start w:val="1"/>
      <w:numFmt w:val="bullet"/>
      <w:lvlText w:val=""/>
      <w:lvlJc w:val="left"/>
      <w:pPr>
        <w:ind w:left="2094" w:hanging="360"/>
      </w:pPr>
      <w:rPr>
        <w:rFonts w:ascii="Symbol" w:hAnsi="Symbol" w:hint="default"/>
      </w:rPr>
    </w:lvl>
    <w:lvl w:ilvl="4" w:tplc="240A0003" w:tentative="1">
      <w:start w:val="1"/>
      <w:numFmt w:val="bullet"/>
      <w:lvlText w:val="o"/>
      <w:lvlJc w:val="left"/>
      <w:pPr>
        <w:ind w:left="2814" w:hanging="360"/>
      </w:pPr>
      <w:rPr>
        <w:rFonts w:ascii="Courier New" w:hAnsi="Courier New" w:cs="Courier New" w:hint="default"/>
      </w:rPr>
    </w:lvl>
    <w:lvl w:ilvl="5" w:tplc="240A0005" w:tentative="1">
      <w:start w:val="1"/>
      <w:numFmt w:val="bullet"/>
      <w:lvlText w:val=""/>
      <w:lvlJc w:val="left"/>
      <w:pPr>
        <w:ind w:left="3534" w:hanging="360"/>
      </w:pPr>
      <w:rPr>
        <w:rFonts w:ascii="Wingdings" w:hAnsi="Wingdings" w:hint="default"/>
      </w:rPr>
    </w:lvl>
    <w:lvl w:ilvl="6" w:tplc="240A0001" w:tentative="1">
      <w:start w:val="1"/>
      <w:numFmt w:val="bullet"/>
      <w:lvlText w:val=""/>
      <w:lvlJc w:val="left"/>
      <w:pPr>
        <w:ind w:left="4254" w:hanging="360"/>
      </w:pPr>
      <w:rPr>
        <w:rFonts w:ascii="Symbol" w:hAnsi="Symbol" w:hint="default"/>
      </w:rPr>
    </w:lvl>
    <w:lvl w:ilvl="7" w:tplc="240A0003" w:tentative="1">
      <w:start w:val="1"/>
      <w:numFmt w:val="bullet"/>
      <w:lvlText w:val="o"/>
      <w:lvlJc w:val="left"/>
      <w:pPr>
        <w:ind w:left="4974" w:hanging="360"/>
      </w:pPr>
      <w:rPr>
        <w:rFonts w:ascii="Courier New" w:hAnsi="Courier New" w:cs="Courier New" w:hint="default"/>
      </w:rPr>
    </w:lvl>
    <w:lvl w:ilvl="8" w:tplc="240A0005" w:tentative="1">
      <w:start w:val="1"/>
      <w:numFmt w:val="bullet"/>
      <w:lvlText w:val=""/>
      <w:lvlJc w:val="left"/>
      <w:pPr>
        <w:ind w:left="5694" w:hanging="360"/>
      </w:pPr>
      <w:rPr>
        <w:rFonts w:ascii="Wingdings" w:hAnsi="Wingdings" w:hint="default"/>
      </w:rPr>
    </w:lvl>
  </w:abstractNum>
  <w:abstractNum w:abstractNumId="17" w15:restartNumberingAfterBreak="0">
    <w:nsid w:val="6AE232AC"/>
    <w:multiLevelType w:val="hybridMultilevel"/>
    <w:tmpl w:val="E63ABAFA"/>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6D342FBC"/>
    <w:multiLevelType w:val="hybridMultilevel"/>
    <w:tmpl w:val="0CCEA870"/>
    <w:lvl w:ilvl="0" w:tplc="240A0001">
      <w:start w:val="1"/>
      <w:numFmt w:val="bullet"/>
      <w:lvlText w:val=""/>
      <w:lvlJc w:val="left"/>
      <w:pPr>
        <w:ind w:left="1080" w:hanging="360"/>
      </w:pPr>
      <w:rPr>
        <w:rFonts w:ascii="Symbol" w:hAnsi="Symbol" w:hint="default"/>
      </w:rPr>
    </w:lvl>
    <w:lvl w:ilvl="1" w:tplc="240A0003">
      <w:start w:val="1"/>
      <w:numFmt w:val="bullet"/>
      <w:lvlText w:val="o"/>
      <w:lvlJc w:val="left"/>
      <w:pPr>
        <w:ind w:left="1800" w:hanging="360"/>
      </w:pPr>
      <w:rPr>
        <w:rFonts w:ascii="Courier New" w:hAnsi="Courier New" w:cs="Courier New" w:hint="default"/>
      </w:rPr>
    </w:lvl>
    <w:lvl w:ilvl="2" w:tplc="240A0005">
      <w:start w:val="1"/>
      <w:numFmt w:val="bullet"/>
      <w:lvlText w:val=""/>
      <w:lvlJc w:val="left"/>
      <w:pPr>
        <w:ind w:left="2520" w:hanging="360"/>
      </w:pPr>
      <w:rPr>
        <w:rFonts w:ascii="Wingdings" w:hAnsi="Wingdings" w:hint="default"/>
      </w:rPr>
    </w:lvl>
    <w:lvl w:ilvl="3" w:tplc="240A0001">
      <w:start w:val="1"/>
      <w:numFmt w:val="bullet"/>
      <w:lvlText w:val=""/>
      <w:lvlJc w:val="left"/>
      <w:pPr>
        <w:ind w:left="3240" w:hanging="360"/>
      </w:pPr>
      <w:rPr>
        <w:rFonts w:ascii="Symbol" w:hAnsi="Symbol" w:hint="default"/>
      </w:rPr>
    </w:lvl>
    <w:lvl w:ilvl="4" w:tplc="240A0003">
      <w:start w:val="1"/>
      <w:numFmt w:val="bullet"/>
      <w:lvlText w:val="o"/>
      <w:lvlJc w:val="left"/>
      <w:pPr>
        <w:ind w:left="3960" w:hanging="360"/>
      </w:pPr>
      <w:rPr>
        <w:rFonts w:ascii="Courier New" w:hAnsi="Courier New" w:cs="Courier New" w:hint="default"/>
      </w:rPr>
    </w:lvl>
    <w:lvl w:ilvl="5" w:tplc="240A0005">
      <w:start w:val="1"/>
      <w:numFmt w:val="bullet"/>
      <w:lvlText w:val=""/>
      <w:lvlJc w:val="left"/>
      <w:pPr>
        <w:ind w:left="4680" w:hanging="360"/>
      </w:pPr>
      <w:rPr>
        <w:rFonts w:ascii="Wingdings" w:hAnsi="Wingdings" w:hint="default"/>
      </w:rPr>
    </w:lvl>
    <w:lvl w:ilvl="6" w:tplc="240A0001">
      <w:start w:val="1"/>
      <w:numFmt w:val="bullet"/>
      <w:lvlText w:val=""/>
      <w:lvlJc w:val="left"/>
      <w:pPr>
        <w:ind w:left="5400" w:hanging="360"/>
      </w:pPr>
      <w:rPr>
        <w:rFonts w:ascii="Symbol" w:hAnsi="Symbol" w:hint="default"/>
      </w:rPr>
    </w:lvl>
    <w:lvl w:ilvl="7" w:tplc="240A0003">
      <w:start w:val="1"/>
      <w:numFmt w:val="bullet"/>
      <w:lvlText w:val="o"/>
      <w:lvlJc w:val="left"/>
      <w:pPr>
        <w:ind w:left="6120" w:hanging="360"/>
      </w:pPr>
      <w:rPr>
        <w:rFonts w:ascii="Courier New" w:hAnsi="Courier New" w:cs="Courier New" w:hint="default"/>
      </w:rPr>
    </w:lvl>
    <w:lvl w:ilvl="8" w:tplc="240A0005">
      <w:start w:val="1"/>
      <w:numFmt w:val="bullet"/>
      <w:lvlText w:val=""/>
      <w:lvlJc w:val="left"/>
      <w:pPr>
        <w:ind w:left="6840" w:hanging="360"/>
      </w:pPr>
      <w:rPr>
        <w:rFonts w:ascii="Wingdings" w:hAnsi="Wingdings" w:hint="default"/>
      </w:rPr>
    </w:lvl>
  </w:abstractNum>
  <w:abstractNum w:abstractNumId="19" w15:restartNumberingAfterBreak="0">
    <w:nsid w:val="726853DC"/>
    <w:multiLevelType w:val="hybridMultilevel"/>
    <w:tmpl w:val="AE601B2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76F901D4"/>
    <w:multiLevelType w:val="hybridMultilevel"/>
    <w:tmpl w:val="40CC4CC0"/>
    <w:lvl w:ilvl="0" w:tplc="4EBE4324">
      <w:start w:val="1"/>
      <w:numFmt w:val="bullet"/>
      <w:lvlText w:val="-"/>
      <w:lvlJc w:val="left"/>
      <w:pPr>
        <w:ind w:left="-66" w:hanging="360"/>
      </w:pPr>
      <w:rPr>
        <w:rFonts w:ascii="Arial" w:eastAsia="Times New Roman" w:hAnsi="Arial" w:cs="Arial" w:hint="default"/>
      </w:rPr>
    </w:lvl>
    <w:lvl w:ilvl="1" w:tplc="240A0003" w:tentative="1">
      <w:start w:val="1"/>
      <w:numFmt w:val="bullet"/>
      <w:lvlText w:val="o"/>
      <w:lvlJc w:val="left"/>
      <w:pPr>
        <w:ind w:left="654" w:hanging="360"/>
      </w:pPr>
      <w:rPr>
        <w:rFonts w:ascii="Courier New" w:hAnsi="Courier New" w:cs="Courier New" w:hint="default"/>
      </w:rPr>
    </w:lvl>
    <w:lvl w:ilvl="2" w:tplc="240A0005" w:tentative="1">
      <w:start w:val="1"/>
      <w:numFmt w:val="bullet"/>
      <w:lvlText w:val=""/>
      <w:lvlJc w:val="left"/>
      <w:pPr>
        <w:ind w:left="1374" w:hanging="360"/>
      </w:pPr>
      <w:rPr>
        <w:rFonts w:ascii="Wingdings" w:hAnsi="Wingdings" w:hint="default"/>
      </w:rPr>
    </w:lvl>
    <w:lvl w:ilvl="3" w:tplc="240A0001" w:tentative="1">
      <w:start w:val="1"/>
      <w:numFmt w:val="bullet"/>
      <w:lvlText w:val=""/>
      <w:lvlJc w:val="left"/>
      <w:pPr>
        <w:ind w:left="2094" w:hanging="360"/>
      </w:pPr>
      <w:rPr>
        <w:rFonts w:ascii="Symbol" w:hAnsi="Symbol" w:hint="default"/>
      </w:rPr>
    </w:lvl>
    <w:lvl w:ilvl="4" w:tplc="240A0003" w:tentative="1">
      <w:start w:val="1"/>
      <w:numFmt w:val="bullet"/>
      <w:lvlText w:val="o"/>
      <w:lvlJc w:val="left"/>
      <w:pPr>
        <w:ind w:left="2814" w:hanging="360"/>
      </w:pPr>
      <w:rPr>
        <w:rFonts w:ascii="Courier New" w:hAnsi="Courier New" w:cs="Courier New" w:hint="default"/>
      </w:rPr>
    </w:lvl>
    <w:lvl w:ilvl="5" w:tplc="240A0005" w:tentative="1">
      <w:start w:val="1"/>
      <w:numFmt w:val="bullet"/>
      <w:lvlText w:val=""/>
      <w:lvlJc w:val="left"/>
      <w:pPr>
        <w:ind w:left="3534" w:hanging="360"/>
      </w:pPr>
      <w:rPr>
        <w:rFonts w:ascii="Wingdings" w:hAnsi="Wingdings" w:hint="default"/>
      </w:rPr>
    </w:lvl>
    <w:lvl w:ilvl="6" w:tplc="240A0001" w:tentative="1">
      <w:start w:val="1"/>
      <w:numFmt w:val="bullet"/>
      <w:lvlText w:val=""/>
      <w:lvlJc w:val="left"/>
      <w:pPr>
        <w:ind w:left="4254" w:hanging="360"/>
      </w:pPr>
      <w:rPr>
        <w:rFonts w:ascii="Symbol" w:hAnsi="Symbol" w:hint="default"/>
      </w:rPr>
    </w:lvl>
    <w:lvl w:ilvl="7" w:tplc="240A0003" w:tentative="1">
      <w:start w:val="1"/>
      <w:numFmt w:val="bullet"/>
      <w:lvlText w:val="o"/>
      <w:lvlJc w:val="left"/>
      <w:pPr>
        <w:ind w:left="4974" w:hanging="360"/>
      </w:pPr>
      <w:rPr>
        <w:rFonts w:ascii="Courier New" w:hAnsi="Courier New" w:cs="Courier New" w:hint="default"/>
      </w:rPr>
    </w:lvl>
    <w:lvl w:ilvl="8" w:tplc="240A0005" w:tentative="1">
      <w:start w:val="1"/>
      <w:numFmt w:val="bullet"/>
      <w:lvlText w:val=""/>
      <w:lvlJc w:val="left"/>
      <w:pPr>
        <w:ind w:left="5694" w:hanging="360"/>
      </w:pPr>
      <w:rPr>
        <w:rFonts w:ascii="Wingdings" w:hAnsi="Wingdings" w:hint="default"/>
      </w:rPr>
    </w:lvl>
  </w:abstractNum>
  <w:abstractNum w:abstractNumId="21" w15:restartNumberingAfterBreak="0">
    <w:nsid w:val="7BA36658"/>
    <w:multiLevelType w:val="hybridMultilevel"/>
    <w:tmpl w:val="BC8CDE6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7BCE5B55"/>
    <w:multiLevelType w:val="hybridMultilevel"/>
    <w:tmpl w:val="1310AD52"/>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7D4806B2"/>
    <w:multiLevelType w:val="hybridMultilevel"/>
    <w:tmpl w:val="5D4A4C7E"/>
    <w:lvl w:ilvl="0" w:tplc="D98C7724">
      <w:start w:val="5"/>
      <w:numFmt w:val="bullet"/>
      <w:lvlText w:val="-"/>
      <w:lvlJc w:val="left"/>
      <w:pPr>
        <w:ind w:left="218" w:hanging="360"/>
      </w:pPr>
      <w:rPr>
        <w:rFonts w:ascii="Arial" w:eastAsia="Times New Roman" w:hAnsi="Arial" w:cs="Arial" w:hint="default"/>
      </w:rPr>
    </w:lvl>
    <w:lvl w:ilvl="1" w:tplc="240A0003" w:tentative="1">
      <w:start w:val="1"/>
      <w:numFmt w:val="bullet"/>
      <w:lvlText w:val="o"/>
      <w:lvlJc w:val="left"/>
      <w:pPr>
        <w:ind w:left="938" w:hanging="360"/>
      </w:pPr>
      <w:rPr>
        <w:rFonts w:ascii="Courier New" w:hAnsi="Courier New" w:cs="Courier New" w:hint="default"/>
      </w:rPr>
    </w:lvl>
    <w:lvl w:ilvl="2" w:tplc="240A0005" w:tentative="1">
      <w:start w:val="1"/>
      <w:numFmt w:val="bullet"/>
      <w:lvlText w:val=""/>
      <w:lvlJc w:val="left"/>
      <w:pPr>
        <w:ind w:left="1658" w:hanging="360"/>
      </w:pPr>
      <w:rPr>
        <w:rFonts w:ascii="Wingdings" w:hAnsi="Wingdings" w:hint="default"/>
      </w:rPr>
    </w:lvl>
    <w:lvl w:ilvl="3" w:tplc="240A0001" w:tentative="1">
      <w:start w:val="1"/>
      <w:numFmt w:val="bullet"/>
      <w:lvlText w:val=""/>
      <w:lvlJc w:val="left"/>
      <w:pPr>
        <w:ind w:left="2378" w:hanging="360"/>
      </w:pPr>
      <w:rPr>
        <w:rFonts w:ascii="Symbol" w:hAnsi="Symbol" w:hint="default"/>
      </w:rPr>
    </w:lvl>
    <w:lvl w:ilvl="4" w:tplc="240A0003" w:tentative="1">
      <w:start w:val="1"/>
      <w:numFmt w:val="bullet"/>
      <w:lvlText w:val="o"/>
      <w:lvlJc w:val="left"/>
      <w:pPr>
        <w:ind w:left="3098" w:hanging="360"/>
      </w:pPr>
      <w:rPr>
        <w:rFonts w:ascii="Courier New" w:hAnsi="Courier New" w:cs="Courier New" w:hint="default"/>
      </w:rPr>
    </w:lvl>
    <w:lvl w:ilvl="5" w:tplc="240A0005" w:tentative="1">
      <w:start w:val="1"/>
      <w:numFmt w:val="bullet"/>
      <w:lvlText w:val=""/>
      <w:lvlJc w:val="left"/>
      <w:pPr>
        <w:ind w:left="3818" w:hanging="360"/>
      </w:pPr>
      <w:rPr>
        <w:rFonts w:ascii="Wingdings" w:hAnsi="Wingdings" w:hint="default"/>
      </w:rPr>
    </w:lvl>
    <w:lvl w:ilvl="6" w:tplc="240A0001" w:tentative="1">
      <w:start w:val="1"/>
      <w:numFmt w:val="bullet"/>
      <w:lvlText w:val=""/>
      <w:lvlJc w:val="left"/>
      <w:pPr>
        <w:ind w:left="4538" w:hanging="360"/>
      </w:pPr>
      <w:rPr>
        <w:rFonts w:ascii="Symbol" w:hAnsi="Symbol" w:hint="default"/>
      </w:rPr>
    </w:lvl>
    <w:lvl w:ilvl="7" w:tplc="240A0003" w:tentative="1">
      <w:start w:val="1"/>
      <w:numFmt w:val="bullet"/>
      <w:lvlText w:val="o"/>
      <w:lvlJc w:val="left"/>
      <w:pPr>
        <w:ind w:left="5258" w:hanging="360"/>
      </w:pPr>
      <w:rPr>
        <w:rFonts w:ascii="Courier New" w:hAnsi="Courier New" w:cs="Courier New" w:hint="default"/>
      </w:rPr>
    </w:lvl>
    <w:lvl w:ilvl="8" w:tplc="240A0005" w:tentative="1">
      <w:start w:val="1"/>
      <w:numFmt w:val="bullet"/>
      <w:lvlText w:val=""/>
      <w:lvlJc w:val="left"/>
      <w:pPr>
        <w:ind w:left="5978" w:hanging="360"/>
      </w:pPr>
      <w:rPr>
        <w:rFonts w:ascii="Wingdings" w:hAnsi="Wingdings" w:hint="default"/>
      </w:rPr>
    </w:lvl>
  </w:abstractNum>
  <w:num w:numId="1">
    <w:abstractNumId w:val="12"/>
  </w:num>
  <w:num w:numId="2">
    <w:abstractNumId w:val="3"/>
  </w:num>
  <w:num w:numId="3">
    <w:abstractNumId w:val="4"/>
  </w:num>
  <w:num w:numId="4">
    <w:abstractNumId w:val="2"/>
  </w:num>
  <w:num w:numId="5">
    <w:abstractNumId w:val="11"/>
  </w:num>
  <w:num w:numId="6">
    <w:abstractNumId w:val="15"/>
  </w:num>
  <w:num w:numId="7">
    <w:abstractNumId w:val="17"/>
  </w:num>
  <w:num w:numId="8">
    <w:abstractNumId w:val="13"/>
  </w:num>
  <w:num w:numId="9">
    <w:abstractNumId w:val="16"/>
  </w:num>
  <w:num w:numId="10">
    <w:abstractNumId w:val="9"/>
  </w:num>
  <w:num w:numId="11">
    <w:abstractNumId w:val="20"/>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1"/>
  </w:num>
  <w:num w:numId="15">
    <w:abstractNumId w:val="5"/>
  </w:num>
  <w:num w:numId="16">
    <w:abstractNumId w:val="7"/>
  </w:num>
  <w:num w:numId="17">
    <w:abstractNumId w:val="21"/>
  </w:num>
  <w:num w:numId="18">
    <w:abstractNumId w:val="8"/>
  </w:num>
  <w:num w:numId="19">
    <w:abstractNumId w:val="6"/>
  </w:num>
  <w:num w:numId="20">
    <w:abstractNumId w:val="14"/>
  </w:num>
  <w:num w:numId="21">
    <w:abstractNumId w:val="0"/>
  </w:num>
  <w:num w:numId="22">
    <w:abstractNumId w:val="10"/>
  </w:num>
  <w:num w:numId="23">
    <w:abstractNumId w:val="23"/>
  </w:num>
  <w:num w:numId="24">
    <w:abstractNumId w:val="19"/>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15CE"/>
    <w:rsid w:val="00022765"/>
    <w:rsid w:val="00034735"/>
    <w:rsid w:val="000371E6"/>
    <w:rsid w:val="00041C1C"/>
    <w:rsid w:val="00054848"/>
    <w:rsid w:val="000957A5"/>
    <w:rsid w:val="000C7498"/>
    <w:rsid w:val="000D3822"/>
    <w:rsid w:val="000E653B"/>
    <w:rsid w:val="000E6FF3"/>
    <w:rsid w:val="0011406F"/>
    <w:rsid w:val="00122B9B"/>
    <w:rsid w:val="0013384D"/>
    <w:rsid w:val="0014727C"/>
    <w:rsid w:val="001505B6"/>
    <w:rsid w:val="00160A0B"/>
    <w:rsid w:val="00174FA9"/>
    <w:rsid w:val="00186854"/>
    <w:rsid w:val="001C0F52"/>
    <w:rsid w:val="001E4DB9"/>
    <w:rsid w:val="001E63E9"/>
    <w:rsid w:val="00231003"/>
    <w:rsid w:val="00244FBD"/>
    <w:rsid w:val="0025215F"/>
    <w:rsid w:val="002B7C59"/>
    <w:rsid w:val="002E3BEC"/>
    <w:rsid w:val="002F032A"/>
    <w:rsid w:val="002F7F40"/>
    <w:rsid w:val="002F7FFC"/>
    <w:rsid w:val="00335744"/>
    <w:rsid w:val="00360DE6"/>
    <w:rsid w:val="00374D19"/>
    <w:rsid w:val="003809ED"/>
    <w:rsid w:val="003A74FD"/>
    <w:rsid w:val="003B0B8B"/>
    <w:rsid w:val="003D333D"/>
    <w:rsid w:val="003F5CA8"/>
    <w:rsid w:val="00402889"/>
    <w:rsid w:val="00433C31"/>
    <w:rsid w:val="00434B03"/>
    <w:rsid w:val="00453E67"/>
    <w:rsid w:val="0048200D"/>
    <w:rsid w:val="00485375"/>
    <w:rsid w:val="004C6C74"/>
    <w:rsid w:val="00503F1E"/>
    <w:rsid w:val="005348DB"/>
    <w:rsid w:val="005559D9"/>
    <w:rsid w:val="00597098"/>
    <w:rsid w:val="005D5BFA"/>
    <w:rsid w:val="005D6408"/>
    <w:rsid w:val="005F3A65"/>
    <w:rsid w:val="00600F9C"/>
    <w:rsid w:val="006432ED"/>
    <w:rsid w:val="006A3165"/>
    <w:rsid w:val="006E642C"/>
    <w:rsid w:val="006F14B7"/>
    <w:rsid w:val="007010B1"/>
    <w:rsid w:val="00707205"/>
    <w:rsid w:val="0072305B"/>
    <w:rsid w:val="00725B4D"/>
    <w:rsid w:val="007269F5"/>
    <w:rsid w:val="007623B8"/>
    <w:rsid w:val="00766FA4"/>
    <w:rsid w:val="00773DCD"/>
    <w:rsid w:val="0078199A"/>
    <w:rsid w:val="007D3A61"/>
    <w:rsid w:val="007E2839"/>
    <w:rsid w:val="007E7F82"/>
    <w:rsid w:val="008069FD"/>
    <w:rsid w:val="00854C1C"/>
    <w:rsid w:val="0086368A"/>
    <w:rsid w:val="008810B5"/>
    <w:rsid w:val="008A5C27"/>
    <w:rsid w:val="00924FF2"/>
    <w:rsid w:val="00935167"/>
    <w:rsid w:val="00946A4E"/>
    <w:rsid w:val="00962684"/>
    <w:rsid w:val="00995140"/>
    <w:rsid w:val="009B314F"/>
    <w:rsid w:val="00A115E4"/>
    <w:rsid w:val="00A44284"/>
    <w:rsid w:val="00A67B72"/>
    <w:rsid w:val="00A813BE"/>
    <w:rsid w:val="00A94060"/>
    <w:rsid w:val="00A97EBB"/>
    <w:rsid w:val="00AC0DB8"/>
    <w:rsid w:val="00AC0F8B"/>
    <w:rsid w:val="00AE0331"/>
    <w:rsid w:val="00B04F94"/>
    <w:rsid w:val="00B15535"/>
    <w:rsid w:val="00B620E2"/>
    <w:rsid w:val="00B77666"/>
    <w:rsid w:val="00B818F5"/>
    <w:rsid w:val="00B914E9"/>
    <w:rsid w:val="00B91D44"/>
    <w:rsid w:val="00BA650F"/>
    <w:rsid w:val="00BA7C27"/>
    <w:rsid w:val="00BC070E"/>
    <w:rsid w:val="00BC4001"/>
    <w:rsid w:val="00BE1AE4"/>
    <w:rsid w:val="00C46587"/>
    <w:rsid w:val="00C5454D"/>
    <w:rsid w:val="00C6378B"/>
    <w:rsid w:val="00C66CAA"/>
    <w:rsid w:val="00C70218"/>
    <w:rsid w:val="00C749EA"/>
    <w:rsid w:val="00C9457E"/>
    <w:rsid w:val="00CC6B72"/>
    <w:rsid w:val="00CD536E"/>
    <w:rsid w:val="00CE438C"/>
    <w:rsid w:val="00CE53D0"/>
    <w:rsid w:val="00D264A2"/>
    <w:rsid w:val="00D3036F"/>
    <w:rsid w:val="00D53364"/>
    <w:rsid w:val="00D6076B"/>
    <w:rsid w:val="00D667A4"/>
    <w:rsid w:val="00D762C4"/>
    <w:rsid w:val="00D76DF3"/>
    <w:rsid w:val="00DE1647"/>
    <w:rsid w:val="00DF57B9"/>
    <w:rsid w:val="00E2155D"/>
    <w:rsid w:val="00E61A97"/>
    <w:rsid w:val="00EB4C04"/>
    <w:rsid w:val="00EC15CE"/>
    <w:rsid w:val="00EF0372"/>
    <w:rsid w:val="00F03D13"/>
    <w:rsid w:val="00F103F4"/>
    <w:rsid w:val="00F64051"/>
    <w:rsid w:val="00F7457F"/>
    <w:rsid w:val="00FA01BE"/>
    <w:rsid w:val="00FA5B7D"/>
    <w:rsid w:val="00FC2C4B"/>
    <w:rsid w:val="00FC2D03"/>
    <w:rsid w:val="00FC56D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CBD73E1-7C8E-4D67-803C-D3291B50C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2">
    <w:name w:val="heading 2"/>
    <w:basedOn w:val="Normal"/>
    <w:next w:val="Normal"/>
    <w:link w:val="Ttulo2Car"/>
    <w:qFormat/>
    <w:rsid w:val="009B314F"/>
    <w:pPr>
      <w:keepNext/>
      <w:spacing w:after="0" w:line="240" w:lineRule="auto"/>
      <w:outlineLvl w:val="1"/>
    </w:pPr>
    <w:rPr>
      <w:rFonts w:ascii="Arial" w:eastAsia="Times New Roman" w:hAnsi="Arial" w:cs="Times New Roman"/>
      <w:b/>
      <w:bCs/>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Segundo nivel de viñetas,List Paragraph1,titulo 3,Bullet List,FooterText,numbered,Paragraphe de liste1,lp1,HOJA,Colorful List - Accent 11,Lista vistosa - Énfasis 11,Colorful List - Accent 111,Párrafo de lista1,Ha,Bolita,titulo 5,items"/>
    <w:basedOn w:val="Normal"/>
    <w:link w:val="PrrafodelistaCar"/>
    <w:uiPriority w:val="34"/>
    <w:qFormat/>
    <w:rsid w:val="00433C31"/>
    <w:pPr>
      <w:ind w:left="720"/>
      <w:contextualSpacing/>
    </w:pPr>
  </w:style>
  <w:style w:type="character" w:customStyle="1" w:styleId="PrrafodelistaCar">
    <w:name w:val="Párrafo de lista Car"/>
    <w:aliases w:val="Segundo nivel de viñetas Car,List Paragraph1 Car,titulo 3 Car,Bullet List Car,FooterText Car,numbered Car,Paragraphe de liste1 Car,lp1 Car,HOJA Car,Colorful List - Accent 11 Car,Lista vistosa - Énfasis 11 Car,Párrafo de lista1 Car"/>
    <w:link w:val="Prrafodelista"/>
    <w:uiPriority w:val="34"/>
    <w:qFormat/>
    <w:locked/>
    <w:rsid w:val="00360DE6"/>
  </w:style>
  <w:style w:type="paragraph" w:styleId="Encabezado">
    <w:name w:val="header"/>
    <w:aliases w:val="articulo"/>
    <w:basedOn w:val="Normal"/>
    <w:link w:val="EncabezadoCar"/>
    <w:rsid w:val="009B314F"/>
    <w:pPr>
      <w:tabs>
        <w:tab w:val="center" w:pos="4252"/>
        <w:tab w:val="right" w:pos="8504"/>
      </w:tabs>
      <w:spacing w:after="0" w:line="240" w:lineRule="auto"/>
    </w:pPr>
    <w:rPr>
      <w:rFonts w:ascii="Times New Roman" w:eastAsia="Times New Roman" w:hAnsi="Times New Roman" w:cs="Times New Roman"/>
      <w:sz w:val="20"/>
      <w:szCs w:val="20"/>
      <w:lang w:val="es-ES_tradnl" w:eastAsia="es-ES"/>
    </w:rPr>
  </w:style>
  <w:style w:type="character" w:customStyle="1" w:styleId="EncabezadoCar">
    <w:name w:val="Encabezado Car"/>
    <w:aliases w:val="articulo Car"/>
    <w:basedOn w:val="Fuentedeprrafopredeter"/>
    <w:link w:val="Encabezado"/>
    <w:rsid w:val="009B314F"/>
    <w:rPr>
      <w:rFonts w:ascii="Times New Roman" w:eastAsia="Times New Roman" w:hAnsi="Times New Roman" w:cs="Times New Roman"/>
      <w:sz w:val="20"/>
      <w:szCs w:val="20"/>
      <w:lang w:val="es-ES_tradnl" w:eastAsia="es-ES"/>
    </w:rPr>
  </w:style>
  <w:style w:type="paragraph" w:styleId="Descripcin">
    <w:name w:val="caption"/>
    <w:basedOn w:val="Normal"/>
    <w:next w:val="Normal"/>
    <w:uiPriority w:val="35"/>
    <w:unhideWhenUsed/>
    <w:qFormat/>
    <w:rsid w:val="009B314F"/>
    <w:pPr>
      <w:spacing w:after="200" w:line="240" w:lineRule="auto"/>
    </w:pPr>
    <w:rPr>
      <w:rFonts w:ascii="Arial" w:eastAsia="Times New Roman" w:hAnsi="Arial" w:cs="Times New Roman"/>
      <w:i/>
      <w:iCs/>
      <w:color w:val="44546A" w:themeColor="text2"/>
      <w:sz w:val="18"/>
      <w:szCs w:val="18"/>
      <w:lang w:val="es-ES_tradnl" w:eastAsia="es-ES"/>
    </w:rPr>
  </w:style>
  <w:style w:type="character" w:customStyle="1" w:styleId="Ttulo2Car">
    <w:name w:val="Título 2 Car"/>
    <w:basedOn w:val="Fuentedeprrafopredeter"/>
    <w:link w:val="Ttulo2"/>
    <w:rsid w:val="009B314F"/>
    <w:rPr>
      <w:rFonts w:ascii="Arial" w:eastAsia="Times New Roman" w:hAnsi="Arial" w:cs="Times New Roman"/>
      <w:b/>
      <w:bCs/>
      <w:sz w:val="24"/>
      <w:szCs w:val="20"/>
      <w:lang w:val="es-ES_tradnl" w:eastAsia="es-ES"/>
    </w:rPr>
  </w:style>
  <w:style w:type="paragraph" w:styleId="Sinespaciado">
    <w:name w:val="No Spacing"/>
    <w:uiPriority w:val="1"/>
    <w:qFormat/>
    <w:rsid w:val="00FC2C4B"/>
    <w:pPr>
      <w:spacing w:after="0" w:line="240" w:lineRule="auto"/>
    </w:pPr>
  </w:style>
  <w:style w:type="paragraph" w:styleId="Textonotapie">
    <w:name w:val="footnote text"/>
    <w:basedOn w:val="Normal"/>
    <w:link w:val="TextonotapieCar"/>
    <w:uiPriority w:val="99"/>
    <w:semiHidden/>
    <w:unhideWhenUsed/>
    <w:rsid w:val="00600F9C"/>
    <w:pPr>
      <w:spacing w:after="0" w:line="240" w:lineRule="auto"/>
    </w:pPr>
    <w:rPr>
      <w:rFonts w:ascii="Times New Roman" w:eastAsia="Times New Roman" w:hAnsi="Times New Roman" w:cs="Times New Roman"/>
      <w:sz w:val="20"/>
      <w:szCs w:val="20"/>
      <w:lang w:val="es-ES_tradnl" w:eastAsia="es-ES"/>
    </w:rPr>
  </w:style>
  <w:style w:type="character" w:customStyle="1" w:styleId="TextonotapieCar">
    <w:name w:val="Texto nota pie Car"/>
    <w:basedOn w:val="Fuentedeprrafopredeter"/>
    <w:link w:val="Textonotapie"/>
    <w:uiPriority w:val="99"/>
    <w:semiHidden/>
    <w:rsid w:val="00600F9C"/>
    <w:rPr>
      <w:rFonts w:ascii="Times New Roman" w:eastAsia="Times New Roman" w:hAnsi="Times New Roman" w:cs="Times New Roman"/>
      <w:sz w:val="20"/>
      <w:szCs w:val="20"/>
      <w:lang w:val="es-ES_tradnl" w:eastAsia="es-ES"/>
    </w:rPr>
  </w:style>
  <w:style w:type="character" w:styleId="Refdenotaalpie">
    <w:name w:val="footnote reference"/>
    <w:basedOn w:val="Fuentedeprrafopredeter"/>
    <w:uiPriority w:val="99"/>
    <w:semiHidden/>
    <w:unhideWhenUsed/>
    <w:rsid w:val="00600F9C"/>
    <w:rPr>
      <w:vertAlign w:val="superscript"/>
    </w:rPr>
  </w:style>
  <w:style w:type="paragraph" w:styleId="NormalWeb">
    <w:name w:val="Normal (Web)"/>
    <w:basedOn w:val="Normal"/>
    <w:uiPriority w:val="99"/>
    <w:rsid w:val="00B15535"/>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Default">
    <w:name w:val="Default"/>
    <w:rsid w:val="003A74FD"/>
    <w:pPr>
      <w:autoSpaceDE w:val="0"/>
      <w:autoSpaceDN w:val="0"/>
      <w:adjustRightInd w:val="0"/>
      <w:spacing w:after="0" w:line="240" w:lineRule="auto"/>
    </w:pPr>
    <w:rPr>
      <w:rFonts w:ascii="Calibri" w:hAnsi="Calibri" w:cs="Calibri"/>
      <w:color w:val="000000"/>
      <w:sz w:val="24"/>
      <w:szCs w:val="24"/>
    </w:rPr>
  </w:style>
  <w:style w:type="paragraph" w:styleId="Piedepgina">
    <w:name w:val="footer"/>
    <w:basedOn w:val="Normal"/>
    <w:link w:val="PiedepginaCar"/>
    <w:uiPriority w:val="99"/>
    <w:unhideWhenUsed/>
    <w:rsid w:val="00A4428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44284"/>
  </w:style>
  <w:style w:type="character" w:styleId="Hipervnculo">
    <w:name w:val="Hyperlink"/>
    <w:basedOn w:val="Fuentedeprrafopredeter"/>
    <w:uiPriority w:val="99"/>
    <w:unhideWhenUsed/>
    <w:rsid w:val="006432ED"/>
    <w:rPr>
      <w:color w:val="0563C1" w:themeColor="hyperlink"/>
      <w:u w:val="single"/>
    </w:rPr>
  </w:style>
  <w:style w:type="paragraph" w:styleId="Textodeglobo">
    <w:name w:val="Balloon Text"/>
    <w:basedOn w:val="Normal"/>
    <w:link w:val="TextodegloboCar"/>
    <w:uiPriority w:val="99"/>
    <w:semiHidden/>
    <w:unhideWhenUsed/>
    <w:rsid w:val="00C5454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545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3897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chart" Target="charts/chart4.xm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chart" Target="charts/chart7.xml"/><Relationship Id="rId7" Type="http://schemas.openxmlformats.org/officeDocument/2006/relationships/image" Target="media/image1.emf"/><Relationship Id="rId12" Type="http://schemas.openxmlformats.org/officeDocument/2006/relationships/image" Target="media/image6.png"/><Relationship Id="rId17" Type="http://schemas.openxmlformats.org/officeDocument/2006/relationships/chart" Target="charts/chart3.xml"/><Relationship Id="rId25" Type="http://schemas.openxmlformats.org/officeDocument/2006/relationships/hyperlink" Target="https://www.acueducto.com.co" TargetMode="External"/><Relationship Id="rId2" Type="http://schemas.openxmlformats.org/officeDocument/2006/relationships/styles" Target="styles.xml"/><Relationship Id="rId16" Type="http://schemas.openxmlformats.org/officeDocument/2006/relationships/chart" Target="charts/chart2.xml"/><Relationship Id="rId20" Type="http://schemas.openxmlformats.org/officeDocument/2006/relationships/chart" Target="charts/chart6.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0.png"/><Relationship Id="rId5" Type="http://schemas.openxmlformats.org/officeDocument/2006/relationships/footnotes" Target="footnotes.xml"/><Relationship Id="rId15" Type="http://schemas.openxmlformats.org/officeDocument/2006/relationships/chart" Target="charts/chart1.xml"/><Relationship Id="rId23" Type="http://schemas.openxmlformats.org/officeDocument/2006/relationships/image" Target="media/image9.png"/><Relationship Id="rId28"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chart" Target="charts/chart5.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hyperlink" Target="https://www.acueducto.com.co/webdomino/AcueGes/AcueGes_2017.nsf/0990c09ff27d859a052581a30052134a/354b3991119e97f2052584500059823f?OpenDocument" TargetMode="External"/><Relationship Id="rId2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2.jpg"/></Relationships>
</file>

<file path=word/_rels/header1.xml.rels><?xml version="1.0" encoding="UTF-8" standalone="yes"?>
<Relationships xmlns="http://schemas.openxmlformats.org/package/2006/relationships"><Relationship Id="rId1" Type="http://schemas.openxmlformats.org/officeDocument/2006/relationships/image" Target="media/image11.png"/></Relationships>
</file>

<file path=word/charts/_rels/chart1.xml.rels><?xml version="1.0" encoding="UTF-8" standalone="yes"?>
<Relationships xmlns="http://schemas.openxmlformats.org/package/2006/relationships"><Relationship Id="rId3" Type="http://schemas.openxmlformats.org/officeDocument/2006/relationships/oleObject" Target="file:///C:\Users\ebermudez\Documents\EFBM\OCIG\2019\SEGUIMIENTOS\AUSTERIDAD\CUARTO%20TRIMESTRE\Comparativo%20HE%202018%202019.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ebermudez\Documents\EFBM\OCIG\2019\SEGUIMIENTOS\AUSTERIDAD\CUARTO%20TRIMESTRE\Vacaciones%20compensadas%202019.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ebermudez\Documents\EFBM\OCIG\2019\SEGUIMIENTOS\AUSTERIDAD\CUARTO%20TRIMESTRE\CUADRO%20ANALISIS%20combnustibles%202019.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ebermudez\Documents\EFBM\OCIG\2019\SEGUIMIENTOS\AUSTERIDAD\CUARTO%20TRIMESTRE\Comparativo%20Telefonia%20Fija%202018%202019.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ebermudez\Documents\EFBM\OCIG\2019\SEGUIMIENTOS\AUSTERIDAD\CUARTO%20TRIMESTRE\Comparativo%20Telefonia%20Fija%202018%202019.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ebermudez\Documents\EFBM\OCIG\2019\SEGUIMIENTOS\AUSTERIDAD\CUARTO%20TRIMESTRE\comparativo%20impresi&#243;n%202018%202019.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C:\Users\ebermudez\Documents\EFBM\OCIG\2019\SEGUIMIENTOS\AUSTERIDAD\CUARTO%20TRIMESTRE\Analisis%20ops.xlsx" TargetMode="External"/><Relationship Id="rId2" Type="http://schemas.microsoft.com/office/2011/relationships/chartColorStyle" Target="colors7.xml"/><Relationship Id="rId1" Type="http://schemas.microsoft.com/office/2011/relationships/chartStyle" Target="style7.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CO"/>
              <a:t>Comparativo</a:t>
            </a:r>
            <a:r>
              <a:rPr lang="es-CO" baseline="0"/>
              <a:t> HE 2018 vs. 2019</a:t>
            </a:r>
            <a:endParaRPr lang="es-CO"/>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CO"/>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Hoja1!$A$24</c:f>
              <c:strCache>
                <c:ptCount val="1"/>
                <c:pt idx="0">
                  <c:v>Func. Con reporte pago HE</c:v>
                </c:pt>
              </c:strCache>
            </c:strRef>
          </c:tx>
          <c:spPr>
            <a:solidFill>
              <a:schemeClr val="accent1"/>
            </a:solidFill>
            <a:ln>
              <a:noFill/>
            </a:ln>
            <a:effectLst/>
            <a:sp3d/>
          </c:spPr>
          <c:invertIfNegative val="0"/>
          <c:dLbls>
            <c:dLbl>
              <c:idx val="0"/>
              <c:layout>
                <c:manualLayout>
                  <c:x val="1.9444444444444445E-2"/>
                  <c:y val="-3.703703703703703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9DBD-4991-8B05-7C10CB016537}"/>
                </c:ext>
              </c:extLst>
            </c:dLbl>
            <c:dLbl>
              <c:idx val="1"/>
              <c:layout>
                <c:manualLayout>
                  <c:x val="4.7222222222222221E-2"/>
                  <c:y val="-3.240740740740742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DBD-4991-8B05-7C10CB016537}"/>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Hoja1!$B$22:$C$22</c:f>
              <c:numCache>
                <c:formatCode>General</c:formatCode>
                <c:ptCount val="2"/>
                <c:pt idx="0">
                  <c:v>2018</c:v>
                </c:pt>
                <c:pt idx="1">
                  <c:v>2019</c:v>
                </c:pt>
              </c:numCache>
            </c:numRef>
          </c:cat>
          <c:val>
            <c:numRef>
              <c:f>Hoja1!$B$24:$C$24</c:f>
              <c:numCache>
                <c:formatCode>0</c:formatCode>
                <c:ptCount val="2"/>
                <c:pt idx="0">
                  <c:v>2470</c:v>
                </c:pt>
                <c:pt idx="1">
                  <c:v>2419</c:v>
                </c:pt>
              </c:numCache>
            </c:numRef>
          </c:val>
          <c:extLst>
            <c:ext xmlns:c16="http://schemas.microsoft.com/office/drawing/2014/chart" uri="{C3380CC4-5D6E-409C-BE32-E72D297353CC}">
              <c16:uniqueId val="{00000002-9DBD-4991-8B05-7C10CB016537}"/>
            </c:ext>
          </c:extLst>
        </c:ser>
        <c:ser>
          <c:idx val="1"/>
          <c:order val="1"/>
          <c:tx>
            <c:strRef>
              <c:f>Hoja1!$A$25</c:f>
              <c:strCache>
                <c:ptCount val="1"/>
                <c:pt idx="0">
                  <c:v>Func. Con pago HE &gt; 576 horas/año</c:v>
                </c:pt>
              </c:strCache>
            </c:strRef>
          </c:tx>
          <c:spPr>
            <a:solidFill>
              <a:schemeClr val="accent2"/>
            </a:solidFill>
            <a:ln>
              <a:noFill/>
            </a:ln>
            <a:effectLst/>
            <a:sp3d/>
          </c:spPr>
          <c:invertIfNegative val="0"/>
          <c:dLbls>
            <c:dLbl>
              <c:idx val="0"/>
              <c:layout>
                <c:manualLayout>
                  <c:x val="1.3888888888888838E-2"/>
                  <c:y val="-4.166666666666675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9DBD-4991-8B05-7C10CB016537}"/>
                </c:ext>
              </c:extLst>
            </c:dLbl>
            <c:dLbl>
              <c:idx val="1"/>
              <c:layout>
                <c:manualLayout>
                  <c:x val="3.0555555555555555E-2"/>
                  <c:y val="-4.166666666666666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9DBD-4991-8B05-7C10CB016537}"/>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Hoja1!$B$22:$C$22</c:f>
              <c:numCache>
                <c:formatCode>General</c:formatCode>
                <c:ptCount val="2"/>
                <c:pt idx="0">
                  <c:v>2018</c:v>
                </c:pt>
                <c:pt idx="1">
                  <c:v>2019</c:v>
                </c:pt>
              </c:numCache>
            </c:numRef>
          </c:cat>
          <c:val>
            <c:numRef>
              <c:f>Hoja1!$B$25:$C$25</c:f>
              <c:numCache>
                <c:formatCode>0</c:formatCode>
                <c:ptCount val="2"/>
                <c:pt idx="0" formatCode="General">
                  <c:v>515</c:v>
                </c:pt>
                <c:pt idx="1">
                  <c:v>492</c:v>
                </c:pt>
              </c:numCache>
            </c:numRef>
          </c:val>
          <c:extLst>
            <c:ext xmlns:c16="http://schemas.microsoft.com/office/drawing/2014/chart" uri="{C3380CC4-5D6E-409C-BE32-E72D297353CC}">
              <c16:uniqueId val="{00000005-9DBD-4991-8B05-7C10CB016537}"/>
            </c:ext>
          </c:extLst>
        </c:ser>
        <c:dLbls>
          <c:showLegendKey val="0"/>
          <c:showVal val="1"/>
          <c:showCatName val="0"/>
          <c:showSerName val="0"/>
          <c:showPercent val="0"/>
          <c:showBubbleSize val="0"/>
        </c:dLbls>
        <c:gapWidth val="75"/>
        <c:shape val="box"/>
        <c:axId val="450981840"/>
        <c:axId val="450983408"/>
        <c:axId val="0"/>
      </c:bar3DChart>
      <c:catAx>
        <c:axId val="45098184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450983408"/>
        <c:crosses val="autoZero"/>
        <c:auto val="1"/>
        <c:lblAlgn val="ctr"/>
        <c:lblOffset val="100"/>
        <c:noMultiLvlLbl val="0"/>
      </c:catAx>
      <c:valAx>
        <c:axId val="45098340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4509818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CO"/>
              <a:t>Comparativo Vacaciones</a:t>
            </a:r>
            <a:r>
              <a:rPr lang="es-CO" baseline="0"/>
              <a:t> Compensadas 2018 vs. 2019</a:t>
            </a:r>
            <a:endParaRPr lang="es-CO"/>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CO"/>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'RESUMEN  2019'!$B$1</c:f>
              <c:strCache>
                <c:ptCount val="1"/>
                <c:pt idx="0">
                  <c:v>2018</c:v>
                </c:pt>
              </c:strCache>
            </c:strRef>
          </c:tx>
          <c:spPr>
            <a:solidFill>
              <a:schemeClr val="accent1"/>
            </a:solidFill>
            <a:ln>
              <a:noFill/>
            </a:ln>
            <a:effectLst/>
            <a:sp3d/>
          </c:spPr>
          <c:invertIfNegative val="0"/>
          <c:cat>
            <c:strRef>
              <c:f>'RESUMEN  2019'!$A$3:$A$6</c:f>
              <c:strCache>
                <c:ptCount val="4"/>
                <c:pt idx="0">
                  <c:v>Justa Causa</c:v>
                </c:pt>
                <c:pt idx="1">
                  <c:v>Terminación Contrato</c:v>
                </c:pt>
                <c:pt idx="2">
                  <c:v>Voluntario</c:v>
                </c:pt>
                <c:pt idx="3">
                  <c:v>INSUBSISTENCIA</c:v>
                </c:pt>
              </c:strCache>
            </c:strRef>
          </c:cat>
          <c:val>
            <c:numRef>
              <c:f>'RESUMEN  2019'!$C$2:$C$6</c:f>
              <c:numCache>
                <c:formatCode>_("$"* #,##0_);_("$"* \(#,##0\);_("$"* "-"_);_(@_)</c:formatCode>
                <c:ptCount val="4"/>
                <c:pt idx="0">
                  <c:v>0</c:v>
                </c:pt>
                <c:pt idx="1">
                  <c:v>41439556</c:v>
                </c:pt>
                <c:pt idx="2">
                  <c:v>690939726</c:v>
                </c:pt>
                <c:pt idx="3">
                  <c:v>181463555</c:v>
                </c:pt>
              </c:numCache>
            </c:numRef>
          </c:val>
          <c:extLst>
            <c:ext xmlns:c16="http://schemas.microsoft.com/office/drawing/2014/chart" uri="{C3380CC4-5D6E-409C-BE32-E72D297353CC}">
              <c16:uniqueId val="{00000000-F1F6-47AF-8FB0-A9A261B45D3E}"/>
            </c:ext>
          </c:extLst>
        </c:ser>
        <c:ser>
          <c:idx val="1"/>
          <c:order val="1"/>
          <c:tx>
            <c:strRef>
              <c:f>'RESUMEN  2019'!$D$1:$E$1</c:f>
              <c:strCache>
                <c:ptCount val="1"/>
                <c:pt idx="0">
                  <c:v>2019</c:v>
                </c:pt>
              </c:strCache>
            </c:strRef>
          </c:tx>
          <c:spPr>
            <a:solidFill>
              <a:schemeClr val="accent2"/>
            </a:solidFill>
            <a:ln>
              <a:noFill/>
            </a:ln>
            <a:effectLst/>
            <a:sp3d/>
          </c:spPr>
          <c:invertIfNegative val="0"/>
          <c:cat>
            <c:strRef>
              <c:f>'RESUMEN  2019'!$A$3:$A$6</c:f>
              <c:strCache>
                <c:ptCount val="4"/>
                <c:pt idx="0">
                  <c:v>Justa Causa</c:v>
                </c:pt>
                <c:pt idx="1">
                  <c:v>Terminación Contrato</c:v>
                </c:pt>
                <c:pt idx="2">
                  <c:v>Voluntario</c:v>
                </c:pt>
                <c:pt idx="3">
                  <c:v>INSUBSISTENCIA</c:v>
                </c:pt>
              </c:strCache>
            </c:strRef>
          </c:cat>
          <c:val>
            <c:numRef>
              <c:f>'RESUMEN  2019'!$E$3:$E$6</c:f>
              <c:numCache>
                <c:formatCode>_("$"* #,##0_);_("$"* \(#,##0\);_("$"* "-"_);_(@_)</c:formatCode>
                <c:ptCount val="4"/>
                <c:pt idx="0">
                  <c:v>16591393</c:v>
                </c:pt>
                <c:pt idx="1">
                  <c:v>146146658</c:v>
                </c:pt>
                <c:pt idx="2" formatCode="General">
                  <c:v>89826155</c:v>
                </c:pt>
                <c:pt idx="3" formatCode="General">
                  <c:v>0</c:v>
                </c:pt>
              </c:numCache>
            </c:numRef>
          </c:val>
          <c:extLst>
            <c:ext xmlns:c16="http://schemas.microsoft.com/office/drawing/2014/chart" uri="{C3380CC4-5D6E-409C-BE32-E72D297353CC}">
              <c16:uniqueId val="{00000001-F1F6-47AF-8FB0-A9A261B45D3E}"/>
            </c:ext>
          </c:extLst>
        </c:ser>
        <c:dLbls>
          <c:showLegendKey val="0"/>
          <c:showVal val="0"/>
          <c:showCatName val="0"/>
          <c:showSerName val="0"/>
          <c:showPercent val="0"/>
          <c:showBubbleSize val="0"/>
        </c:dLbls>
        <c:gapWidth val="150"/>
        <c:shape val="box"/>
        <c:axId val="450981448"/>
        <c:axId val="450982232"/>
        <c:axId val="0"/>
      </c:bar3DChart>
      <c:catAx>
        <c:axId val="45098144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450982232"/>
        <c:crosses val="autoZero"/>
        <c:auto val="1"/>
        <c:lblAlgn val="ctr"/>
        <c:lblOffset val="100"/>
        <c:noMultiLvlLbl val="0"/>
      </c:catAx>
      <c:valAx>
        <c:axId val="450982232"/>
        <c:scaling>
          <c:orientation val="minMax"/>
        </c:scaling>
        <c:delete val="0"/>
        <c:axPos val="l"/>
        <c:majorGridlines>
          <c:spPr>
            <a:ln w="9525" cap="flat" cmpd="sng" algn="ctr">
              <a:solidFill>
                <a:schemeClr val="tx1">
                  <a:lumMod val="15000"/>
                  <a:lumOff val="85000"/>
                </a:schemeClr>
              </a:solidFill>
              <a:round/>
            </a:ln>
            <a:effectLst/>
          </c:spPr>
        </c:majorGridlines>
        <c:numFmt formatCode="_(&quot;$&quot;* #,##0_);_(&quot;$&quot;* \(#,##0\);_(&quot;$&quot;*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450981448"/>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CO"/>
              <a:t>Comparativo Combustibles</a:t>
            </a:r>
            <a:r>
              <a:rPr lang="es-CO" baseline="0"/>
              <a:t> 2018 vs. 2019</a:t>
            </a:r>
            <a:endParaRPr lang="es-CO"/>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CO"/>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Hoja1!$B$1</c:f>
              <c:strCache>
                <c:ptCount val="1"/>
                <c:pt idx="0">
                  <c:v>2018</c:v>
                </c:pt>
              </c:strCache>
            </c:strRef>
          </c:tx>
          <c:spPr>
            <a:solidFill>
              <a:schemeClr val="accent1"/>
            </a:solidFill>
            <a:ln>
              <a:noFill/>
            </a:ln>
            <a:effectLst/>
            <a:sp3d/>
          </c:spPr>
          <c:invertIfNegative val="0"/>
          <c:cat>
            <c:strRef>
              <c:f>Hoja1!$A$3:$A$5</c:f>
              <c:strCache>
                <c:ptCount val="3"/>
                <c:pt idx="0">
                  <c:v>PROPIOS</c:v>
                </c:pt>
                <c:pt idx="1">
                  <c:v>ARRENDADOS</c:v>
                </c:pt>
                <c:pt idx="2">
                  <c:v>MOTOS ARRENDADAS</c:v>
                </c:pt>
              </c:strCache>
            </c:strRef>
          </c:cat>
          <c:val>
            <c:numRef>
              <c:f>Hoja1!$C$3:$C$5</c:f>
              <c:numCache>
                <c:formatCode>_("$"* #,##0_);_("$"* \(#,##0\);_("$"* "-"_);_(@_)</c:formatCode>
                <c:ptCount val="3"/>
                <c:pt idx="0">
                  <c:v>2100651008</c:v>
                </c:pt>
                <c:pt idx="1">
                  <c:v>392726975</c:v>
                </c:pt>
                <c:pt idx="2">
                  <c:v>124701050</c:v>
                </c:pt>
              </c:numCache>
            </c:numRef>
          </c:val>
          <c:extLst>
            <c:ext xmlns:c16="http://schemas.microsoft.com/office/drawing/2014/chart" uri="{C3380CC4-5D6E-409C-BE32-E72D297353CC}">
              <c16:uniqueId val="{00000000-3FED-498D-AE5A-8E376237BECF}"/>
            </c:ext>
          </c:extLst>
        </c:ser>
        <c:ser>
          <c:idx val="1"/>
          <c:order val="1"/>
          <c:tx>
            <c:strRef>
              <c:f>Hoja1!$E$1</c:f>
              <c:strCache>
                <c:ptCount val="1"/>
                <c:pt idx="0">
                  <c:v>2019</c:v>
                </c:pt>
              </c:strCache>
            </c:strRef>
          </c:tx>
          <c:spPr>
            <a:solidFill>
              <a:schemeClr val="accent2"/>
            </a:solidFill>
            <a:ln>
              <a:noFill/>
            </a:ln>
            <a:effectLst/>
            <a:sp3d/>
          </c:spPr>
          <c:invertIfNegative val="0"/>
          <c:cat>
            <c:strRef>
              <c:f>Hoja1!$A$3:$A$5</c:f>
              <c:strCache>
                <c:ptCount val="3"/>
                <c:pt idx="0">
                  <c:v>PROPIOS</c:v>
                </c:pt>
                <c:pt idx="1">
                  <c:v>ARRENDADOS</c:v>
                </c:pt>
                <c:pt idx="2">
                  <c:v>MOTOS ARRENDADAS</c:v>
                </c:pt>
              </c:strCache>
            </c:strRef>
          </c:cat>
          <c:val>
            <c:numRef>
              <c:f>Hoja1!$F$3:$F$5</c:f>
              <c:numCache>
                <c:formatCode>_("$"* #,##0_);_("$"* \(#,##0\);_("$"* "-"_);_(@_)</c:formatCode>
                <c:ptCount val="3"/>
                <c:pt idx="0">
                  <c:v>2281559316.4421511</c:v>
                </c:pt>
                <c:pt idx="1">
                  <c:v>449102695.34364986</c:v>
                </c:pt>
                <c:pt idx="2">
                  <c:v>133143194.94228995</c:v>
                </c:pt>
              </c:numCache>
            </c:numRef>
          </c:val>
          <c:extLst>
            <c:ext xmlns:c16="http://schemas.microsoft.com/office/drawing/2014/chart" uri="{C3380CC4-5D6E-409C-BE32-E72D297353CC}">
              <c16:uniqueId val="{00000001-3FED-498D-AE5A-8E376237BECF}"/>
            </c:ext>
          </c:extLst>
        </c:ser>
        <c:dLbls>
          <c:showLegendKey val="0"/>
          <c:showVal val="0"/>
          <c:showCatName val="0"/>
          <c:showSerName val="0"/>
          <c:showPercent val="0"/>
          <c:showBubbleSize val="0"/>
        </c:dLbls>
        <c:gapWidth val="75"/>
        <c:shape val="box"/>
        <c:axId val="658157616"/>
        <c:axId val="658158008"/>
        <c:axId val="0"/>
      </c:bar3DChart>
      <c:catAx>
        <c:axId val="65815761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658158008"/>
        <c:crosses val="autoZero"/>
        <c:auto val="1"/>
        <c:lblAlgn val="ctr"/>
        <c:lblOffset val="100"/>
        <c:noMultiLvlLbl val="0"/>
      </c:catAx>
      <c:valAx>
        <c:axId val="658158008"/>
        <c:scaling>
          <c:orientation val="minMax"/>
        </c:scaling>
        <c:delete val="0"/>
        <c:axPos val="l"/>
        <c:majorGridlines>
          <c:spPr>
            <a:ln w="9525" cap="flat" cmpd="sng" algn="ctr">
              <a:solidFill>
                <a:schemeClr val="tx1">
                  <a:lumMod val="15000"/>
                  <a:lumOff val="85000"/>
                </a:schemeClr>
              </a:solidFill>
              <a:round/>
            </a:ln>
            <a:effectLst/>
          </c:spPr>
        </c:majorGridlines>
        <c:numFmt formatCode="_(&quot;$&quot;* #,##0_);_(&quot;$&quot;* \(#,##0\);_(&quot;$&quot;*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6581576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CO"/>
              <a:t>Pagos</a:t>
            </a:r>
            <a:r>
              <a:rPr lang="es-CO" baseline="0"/>
              <a:t> Telefonía Fija 2018 vs. 2019</a:t>
            </a:r>
            <a:endParaRPr lang="es-CO"/>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CO"/>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Fija!$B$11</c:f>
              <c:strCache>
                <c:ptCount val="1"/>
                <c:pt idx="0">
                  <c:v>2018</c:v>
                </c:pt>
              </c:strCache>
            </c:strRef>
          </c:tx>
          <c:spPr>
            <a:solidFill>
              <a:schemeClr val="accent1"/>
            </a:solidFill>
            <a:ln>
              <a:noFill/>
            </a:ln>
            <a:effectLst/>
            <a:sp3d/>
          </c:spPr>
          <c:invertIfNegative val="0"/>
          <c:cat>
            <c:strRef>
              <c:f>Fija!$A$12:$A$13</c:f>
              <c:strCache>
                <c:ptCount val="2"/>
                <c:pt idx="0">
                  <c:v>ETB</c:v>
                </c:pt>
                <c:pt idx="1">
                  <c:v>MOVISTAR</c:v>
                </c:pt>
              </c:strCache>
            </c:strRef>
          </c:cat>
          <c:val>
            <c:numRef>
              <c:f>Fija!$B$12:$B$13</c:f>
              <c:numCache>
                <c:formatCode>_("$"* #,##0_);_("$"* \(#,##0\);_("$"* "-"_);_(@_)</c:formatCode>
                <c:ptCount val="2"/>
                <c:pt idx="0">
                  <c:v>1207583003</c:v>
                </c:pt>
                <c:pt idx="1">
                  <c:v>11519769</c:v>
                </c:pt>
              </c:numCache>
            </c:numRef>
          </c:val>
          <c:extLst>
            <c:ext xmlns:c16="http://schemas.microsoft.com/office/drawing/2014/chart" uri="{C3380CC4-5D6E-409C-BE32-E72D297353CC}">
              <c16:uniqueId val="{00000000-AEE2-4F5B-87A3-4FA5F48BF0F3}"/>
            </c:ext>
          </c:extLst>
        </c:ser>
        <c:ser>
          <c:idx val="1"/>
          <c:order val="1"/>
          <c:tx>
            <c:strRef>
              <c:f>Fija!$C$11</c:f>
              <c:strCache>
                <c:ptCount val="1"/>
                <c:pt idx="0">
                  <c:v>2019</c:v>
                </c:pt>
              </c:strCache>
            </c:strRef>
          </c:tx>
          <c:spPr>
            <a:solidFill>
              <a:schemeClr val="accent2"/>
            </a:solidFill>
            <a:ln>
              <a:noFill/>
            </a:ln>
            <a:effectLst/>
            <a:sp3d/>
          </c:spPr>
          <c:invertIfNegative val="0"/>
          <c:cat>
            <c:strRef>
              <c:f>Fija!$A$12:$A$13</c:f>
              <c:strCache>
                <c:ptCount val="2"/>
                <c:pt idx="0">
                  <c:v>ETB</c:v>
                </c:pt>
                <c:pt idx="1">
                  <c:v>MOVISTAR</c:v>
                </c:pt>
              </c:strCache>
            </c:strRef>
          </c:cat>
          <c:val>
            <c:numRef>
              <c:f>Fija!$C$12:$C$13</c:f>
              <c:numCache>
                <c:formatCode>_("$"* #,##0_);_("$"* \(#,##0\);_("$"* "-"_);_(@_)</c:formatCode>
                <c:ptCount val="2"/>
                <c:pt idx="0">
                  <c:v>1133777907.2</c:v>
                </c:pt>
                <c:pt idx="1">
                  <c:v>12778159</c:v>
                </c:pt>
              </c:numCache>
            </c:numRef>
          </c:val>
          <c:extLst>
            <c:ext xmlns:c16="http://schemas.microsoft.com/office/drawing/2014/chart" uri="{C3380CC4-5D6E-409C-BE32-E72D297353CC}">
              <c16:uniqueId val="{00000001-AEE2-4F5B-87A3-4FA5F48BF0F3}"/>
            </c:ext>
          </c:extLst>
        </c:ser>
        <c:dLbls>
          <c:showLegendKey val="0"/>
          <c:showVal val="0"/>
          <c:showCatName val="0"/>
          <c:showSerName val="0"/>
          <c:showPercent val="0"/>
          <c:showBubbleSize val="0"/>
        </c:dLbls>
        <c:gapWidth val="150"/>
        <c:shape val="box"/>
        <c:axId val="658159184"/>
        <c:axId val="658158400"/>
        <c:axId val="0"/>
      </c:bar3DChart>
      <c:catAx>
        <c:axId val="65815918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658158400"/>
        <c:crosses val="autoZero"/>
        <c:auto val="1"/>
        <c:lblAlgn val="ctr"/>
        <c:lblOffset val="100"/>
        <c:noMultiLvlLbl val="0"/>
      </c:catAx>
      <c:valAx>
        <c:axId val="658158400"/>
        <c:scaling>
          <c:orientation val="minMax"/>
        </c:scaling>
        <c:delete val="0"/>
        <c:axPos val="l"/>
        <c:majorGridlines>
          <c:spPr>
            <a:ln w="9525" cap="flat" cmpd="sng" algn="ctr">
              <a:solidFill>
                <a:schemeClr val="tx1">
                  <a:lumMod val="15000"/>
                  <a:lumOff val="85000"/>
                </a:schemeClr>
              </a:solidFill>
              <a:round/>
            </a:ln>
            <a:effectLst/>
          </c:spPr>
        </c:majorGridlines>
        <c:numFmt formatCode="_(&quot;$&quot;* #,##0_);_(&quot;$&quot;* \(#,##0\);_(&quot;$&quot;*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65815918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CO"/>
              <a:t>Pagos</a:t>
            </a:r>
            <a:r>
              <a:rPr lang="es-CO" baseline="0"/>
              <a:t> Telefonía Celular 2018 vs. 2019</a:t>
            </a:r>
            <a:endParaRPr lang="es-CO"/>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CO"/>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celular!$B$2</c:f>
              <c:strCache>
                <c:ptCount val="1"/>
                <c:pt idx="0">
                  <c:v>2018</c:v>
                </c:pt>
              </c:strCache>
            </c:strRef>
          </c:tx>
          <c:spPr>
            <a:solidFill>
              <a:schemeClr val="accent1"/>
            </a:solidFill>
            <a:ln>
              <a:noFill/>
            </a:ln>
            <a:effectLst/>
            <a:sp3d/>
          </c:spPr>
          <c:invertIfNegative val="0"/>
          <c:cat>
            <c:strRef>
              <c:f>celular!$A$3:$A$5</c:f>
              <c:strCache>
                <c:ptCount val="3"/>
                <c:pt idx="0">
                  <c:v>MOVISTAR</c:v>
                </c:pt>
                <c:pt idx="1">
                  <c:v>TIGO</c:v>
                </c:pt>
                <c:pt idx="2">
                  <c:v>CLARO</c:v>
                </c:pt>
              </c:strCache>
            </c:strRef>
          </c:cat>
          <c:val>
            <c:numRef>
              <c:f>celular!$B$3:$B$5</c:f>
              <c:numCache>
                <c:formatCode>_("$"* #,##0_);_("$"* \(#,##0\);_("$"* "-"_);_(@_)</c:formatCode>
                <c:ptCount val="3"/>
                <c:pt idx="0">
                  <c:v>979779571</c:v>
                </c:pt>
                <c:pt idx="1">
                  <c:v>0</c:v>
                </c:pt>
                <c:pt idx="2">
                  <c:v>261036731</c:v>
                </c:pt>
              </c:numCache>
            </c:numRef>
          </c:val>
          <c:extLst>
            <c:ext xmlns:c16="http://schemas.microsoft.com/office/drawing/2014/chart" uri="{C3380CC4-5D6E-409C-BE32-E72D297353CC}">
              <c16:uniqueId val="{00000000-1155-41E3-9A64-B238D022E510}"/>
            </c:ext>
          </c:extLst>
        </c:ser>
        <c:ser>
          <c:idx val="1"/>
          <c:order val="1"/>
          <c:tx>
            <c:strRef>
              <c:f>celular!$C$2</c:f>
              <c:strCache>
                <c:ptCount val="1"/>
                <c:pt idx="0">
                  <c:v>2019</c:v>
                </c:pt>
              </c:strCache>
            </c:strRef>
          </c:tx>
          <c:spPr>
            <a:solidFill>
              <a:schemeClr val="accent2"/>
            </a:solidFill>
            <a:ln>
              <a:noFill/>
            </a:ln>
            <a:effectLst/>
            <a:sp3d/>
          </c:spPr>
          <c:invertIfNegative val="0"/>
          <c:cat>
            <c:strRef>
              <c:f>celular!$A$3:$A$5</c:f>
              <c:strCache>
                <c:ptCount val="3"/>
                <c:pt idx="0">
                  <c:v>MOVISTAR</c:v>
                </c:pt>
                <c:pt idx="1">
                  <c:v>TIGO</c:v>
                </c:pt>
                <c:pt idx="2">
                  <c:v>CLARO</c:v>
                </c:pt>
              </c:strCache>
            </c:strRef>
          </c:cat>
          <c:val>
            <c:numRef>
              <c:f>celular!$C$3:$C$5</c:f>
              <c:numCache>
                <c:formatCode>_("$"* #,##0_);_("$"* \(#,##0\);_("$"* "-"_);_(@_)</c:formatCode>
                <c:ptCount val="3"/>
                <c:pt idx="0">
                  <c:v>597477348.46799994</c:v>
                </c:pt>
                <c:pt idx="1">
                  <c:v>381724798</c:v>
                </c:pt>
                <c:pt idx="2">
                  <c:v>394798214.80000001</c:v>
                </c:pt>
              </c:numCache>
            </c:numRef>
          </c:val>
          <c:extLst>
            <c:ext xmlns:c16="http://schemas.microsoft.com/office/drawing/2014/chart" uri="{C3380CC4-5D6E-409C-BE32-E72D297353CC}">
              <c16:uniqueId val="{00000001-1155-41E3-9A64-B238D022E510}"/>
            </c:ext>
          </c:extLst>
        </c:ser>
        <c:dLbls>
          <c:showLegendKey val="0"/>
          <c:showVal val="0"/>
          <c:showCatName val="0"/>
          <c:showSerName val="0"/>
          <c:showPercent val="0"/>
          <c:showBubbleSize val="0"/>
        </c:dLbls>
        <c:gapWidth val="150"/>
        <c:shape val="box"/>
        <c:axId val="658160360"/>
        <c:axId val="658160752"/>
        <c:axId val="0"/>
      </c:bar3DChart>
      <c:catAx>
        <c:axId val="65816036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658160752"/>
        <c:crosses val="autoZero"/>
        <c:auto val="1"/>
        <c:lblAlgn val="ctr"/>
        <c:lblOffset val="100"/>
        <c:noMultiLvlLbl val="0"/>
      </c:catAx>
      <c:valAx>
        <c:axId val="658160752"/>
        <c:scaling>
          <c:orientation val="minMax"/>
        </c:scaling>
        <c:delete val="0"/>
        <c:axPos val="l"/>
        <c:majorGridlines>
          <c:spPr>
            <a:ln w="9525" cap="flat" cmpd="sng" algn="ctr">
              <a:solidFill>
                <a:schemeClr val="tx1">
                  <a:lumMod val="15000"/>
                  <a:lumOff val="85000"/>
                </a:schemeClr>
              </a:solidFill>
              <a:round/>
            </a:ln>
            <a:effectLst/>
          </c:spPr>
        </c:majorGridlines>
        <c:numFmt formatCode="_(&quot;$&quot;* #,##0_);_(&quot;$&quot;* \(#,##0\);_(&quot;$&quot;*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6581603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CO"/>
              <a:t>Comparativo Elementos de impresió</a:t>
            </a:r>
            <a:r>
              <a:rPr lang="es-CO" baseline="0"/>
              <a:t> y papel 2018 vs. 2019</a:t>
            </a:r>
            <a:endParaRPr lang="es-CO"/>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CO"/>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Hoja1!$B$1</c:f>
              <c:strCache>
                <c:ptCount val="1"/>
                <c:pt idx="0">
                  <c:v>2018</c:v>
                </c:pt>
              </c:strCache>
            </c:strRef>
          </c:tx>
          <c:spPr>
            <a:solidFill>
              <a:schemeClr val="accent1"/>
            </a:solidFill>
            <a:ln>
              <a:noFill/>
            </a:ln>
            <a:effectLst/>
            <a:sp3d/>
          </c:spPr>
          <c:invertIfNegative val="0"/>
          <c:cat>
            <c:strRef>
              <c:f>Hoja1!$A$2:$A$3</c:f>
              <c:strCache>
                <c:ptCount val="2"/>
                <c:pt idx="0">
                  <c:v>PAPEL</c:v>
                </c:pt>
                <c:pt idx="1">
                  <c:v>ELEMENTOS 
IMPRESIÓN</c:v>
                </c:pt>
              </c:strCache>
            </c:strRef>
          </c:cat>
          <c:val>
            <c:numRef>
              <c:f>Hoja1!$B$2:$B$3</c:f>
              <c:numCache>
                <c:formatCode>_("$"\ * #,##0_);_("$"\ * \(#,##0\);_("$"\ * "-"??_);_(@_)</c:formatCode>
                <c:ptCount val="2"/>
                <c:pt idx="0">
                  <c:v>191675176</c:v>
                </c:pt>
                <c:pt idx="1">
                  <c:v>691229899</c:v>
                </c:pt>
              </c:numCache>
            </c:numRef>
          </c:val>
          <c:extLst>
            <c:ext xmlns:c16="http://schemas.microsoft.com/office/drawing/2014/chart" uri="{C3380CC4-5D6E-409C-BE32-E72D297353CC}">
              <c16:uniqueId val="{00000000-8015-4D48-82A7-5D3ECD2AC097}"/>
            </c:ext>
          </c:extLst>
        </c:ser>
        <c:ser>
          <c:idx val="1"/>
          <c:order val="1"/>
          <c:tx>
            <c:strRef>
              <c:f>Hoja1!$C$1</c:f>
              <c:strCache>
                <c:ptCount val="1"/>
                <c:pt idx="0">
                  <c:v>2019</c:v>
                </c:pt>
              </c:strCache>
            </c:strRef>
          </c:tx>
          <c:spPr>
            <a:solidFill>
              <a:schemeClr val="accent2"/>
            </a:solidFill>
            <a:ln>
              <a:noFill/>
            </a:ln>
            <a:effectLst/>
            <a:sp3d/>
          </c:spPr>
          <c:invertIfNegative val="0"/>
          <c:cat>
            <c:strRef>
              <c:f>Hoja1!$A$2:$A$3</c:f>
              <c:strCache>
                <c:ptCount val="2"/>
                <c:pt idx="0">
                  <c:v>PAPEL</c:v>
                </c:pt>
                <c:pt idx="1">
                  <c:v>ELEMENTOS 
IMPRESIÓN</c:v>
                </c:pt>
              </c:strCache>
            </c:strRef>
          </c:cat>
          <c:val>
            <c:numRef>
              <c:f>Hoja1!$C$2:$C$3</c:f>
              <c:numCache>
                <c:formatCode>_("$"* #,##0_);_("$"* \(#,##0\);_("$"* "-"_);_(@_)</c:formatCode>
                <c:ptCount val="2"/>
                <c:pt idx="0">
                  <c:v>127572464</c:v>
                </c:pt>
                <c:pt idx="1">
                  <c:v>832050354.83350003</c:v>
                </c:pt>
              </c:numCache>
            </c:numRef>
          </c:val>
          <c:extLst>
            <c:ext xmlns:c16="http://schemas.microsoft.com/office/drawing/2014/chart" uri="{C3380CC4-5D6E-409C-BE32-E72D297353CC}">
              <c16:uniqueId val="{00000001-8015-4D48-82A7-5D3ECD2AC097}"/>
            </c:ext>
          </c:extLst>
        </c:ser>
        <c:dLbls>
          <c:showLegendKey val="0"/>
          <c:showVal val="0"/>
          <c:showCatName val="0"/>
          <c:showSerName val="0"/>
          <c:showPercent val="0"/>
          <c:showBubbleSize val="0"/>
        </c:dLbls>
        <c:gapWidth val="150"/>
        <c:shape val="box"/>
        <c:axId val="287554816"/>
        <c:axId val="287555208"/>
        <c:axId val="0"/>
      </c:bar3DChart>
      <c:catAx>
        <c:axId val="28755481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287555208"/>
        <c:crosses val="autoZero"/>
        <c:auto val="1"/>
        <c:lblAlgn val="ctr"/>
        <c:lblOffset val="100"/>
        <c:noMultiLvlLbl val="0"/>
      </c:catAx>
      <c:valAx>
        <c:axId val="287555208"/>
        <c:scaling>
          <c:orientation val="minMax"/>
        </c:scaling>
        <c:delete val="0"/>
        <c:axPos val="l"/>
        <c:majorGridlines>
          <c:spPr>
            <a:ln w="9525" cap="flat" cmpd="sng" algn="ctr">
              <a:solidFill>
                <a:schemeClr val="tx1">
                  <a:lumMod val="15000"/>
                  <a:lumOff val="85000"/>
                </a:schemeClr>
              </a:solidFill>
              <a:round/>
            </a:ln>
            <a:effectLst/>
          </c:spPr>
        </c:majorGridlines>
        <c:numFmt formatCode="_(&quot;$&quot;\ * #,##0_);_(&quot;$&quot;\ * \(#,##0\);_(&quot;$&quot;\ *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2875548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s-CO"/>
              <a:t>Distribución Contratos</a:t>
            </a:r>
            <a:r>
              <a:rPr lang="es-CO" baseline="0"/>
              <a:t> OPS 2019</a:t>
            </a:r>
            <a:endParaRPr lang="es-CO"/>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s-CO"/>
        </a:p>
      </c:txPr>
    </c:title>
    <c:autoTitleDeleted val="0"/>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1-2D00-4DF7-97F6-5D9C021F0AED}"/>
              </c:ext>
            </c:extLst>
          </c:dPt>
          <c:dPt>
            <c:idx val="1"/>
            <c:bubble3D val="0"/>
            <c:spPr>
              <a:solidFill>
                <a:schemeClr val="accent2"/>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3-2D00-4DF7-97F6-5D9C021F0AED}"/>
              </c:ext>
            </c:extLst>
          </c:dPt>
          <c:dPt>
            <c:idx val="2"/>
            <c:bubble3D val="0"/>
            <c:spPr>
              <a:solidFill>
                <a:schemeClr val="accent3"/>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5-2D00-4DF7-97F6-5D9C021F0AED}"/>
              </c:ext>
            </c:extLst>
          </c:dPt>
          <c:dPt>
            <c:idx val="3"/>
            <c:bubble3D val="0"/>
            <c:spPr>
              <a:solidFill>
                <a:schemeClr val="accent4"/>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7-2D00-4DF7-97F6-5D9C021F0AED}"/>
              </c:ext>
            </c:extLst>
          </c:dPt>
          <c:dPt>
            <c:idx val="4"/>
            <c:bubble3D val="0"/>
            <c:spPr>
              <a:solidFill>
                <a:schemeClr val="accent5"/>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9-2D00-4DF7-97F6-5D9C021F0AED}"/>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s-CO"/>
              </a:p>
            </c:txPr>
            <c:dLblPos val="bestFit"/>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análisis!$A$52:$A$56</c:f>
              <c:strCache>
                <c:ptCount val="5"/>
                <c:pt idx="0">
                  <c:v>Suscrito y legaizado</c:v>
                </c:pt>
                <c:pt idx="1">
                  <c:v>En ejecución</c:v>
                </c:pt>
                <c:pt idx="2">
                  <c:v>Liquidado</c:v>
                </c:pt>
                <c:pt idx="3">
                  <c:v>Suspendido</c:v>
                </c:pt>
                <c:pt idx="4">
                  <c:v>Terminado</c:v>
                </c:pt>
              </c:strCache>
            </c:strRef>
          </c:cat>
          <c:val>
            <c:numRef>
              <c:f>análisis!$B$52:$B$56</c:f>
              <c:numCache>
                <c:formatCode>General</c:formatCode>
                <c:ptCount val="5"/>
                <c:pt idx="0">
                  <c:v>65</c:v>
                </c:pt>
                <c:pt idx="1">
                  <c:v>874</c:v>
                </c:pt>
                <c:pt idx="2">
                  <c:v>7</c:v>
                </c:pt>
                <c:pt idx="3">
                  <c:v>10</c:v>
                </c:pt>
                <c:pt idx="4">
                  <c:v>45</c:v>
                </c:pt>
              </c:numCache>
            </c:numRef>
          </c:val>
          <c:extLst>
            <c:ext xmlns:c16="http://schemas.microsoft.com/office/drawing/2014/chart" uri="{C3380CC4-5D6E-409C-BE32-E72D297353CC}">
              <c16:uniqueId val="{0000000A-2D00-4DF7-97F6-5D9C021F0AED}"/>
            </c:ext>
          </c:extLst>
        </c:ser>
        <c:ser>
          <c:idx val="1"/>
          <c:order val="1"/>
          <c:dPt>
            <c:idx val="0"/>
            <c:bubble3D val="0"/>
            <c:spPr>
              <a:solidFill>
                <a:schemeClr val="accent1"/>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C-2D00-4DF7-97F6-5D9C021F0AED}"/>
              </c:ext>
            </c:extLst>
          </c:dPt>
          <c:dPt>
            <c:idx val="1"/>
            <c:bubble3D val="0"/>
            <c:spPr>
              <a:solidFill>
                <a:schemeClr val="accent2"/>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E-2D00-4DF7-97F6-5D9C021F0AED}"/>
              </c:ext>
            </c:extLst>
          </c:dPt>
          <c:dPt>
            <c:idx val="2"/>
            <c:bubble3D val="0"/>
            <c:spPr>
              <a:solidFill>
                <a:schemeClr val="accent3"/>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10-2D00-4DF7-97F6-5D9C021F0AED}"/>
              </c:ext>
            </c:extLst>
          </c:dPt>
          <c:dPt>
            <c:idx val="3"/>
            <c:bubble3D val="0"/>
            <c:spPr>
              <a:solidFill>
                <a:schemeClr val="accent4"/>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12-2D00-4DF7-97F6-5D9C021F0AED}"/>
              </c:ext>
            </c:extLst>
          </c:dPt>
          <c:dPt>
            <c:idx val="4"/>
            <c:bubble3D val="0"/>
            <c:spPr>
              <a:solidFill>
                <a:schemeClr val="accent5"/>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14-2D00-4DF7-97F6-5D9C021F0AED}"/>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s-CO"/>
              </a:p>
            </c:txPr>
            <c:dLblPos val="bestFit"/>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análisis!$A$52:$A$56</c:f>
              <c:strCache>
                <c:ptCount val="5"/>
                <c:pt idx="0">
                  <c:v>Suscrito y legaizado</c:v>
                </c:pt>
                <c:pt idx="1">
                  <c:v>En ejecución</c:v>
                </c:pt>
                <c:pt idx="2">
                  <c:v>Liquidado</c:v>
                </c:pt>
                <c:pt idx="3">
                  <c:v>Suspendido</c:v>
                </c:pt>
                <c:pt idx="4">
                  <c:v>Terminado</c:v>
                </c:pt>
              </c:strCache>
            </c:strRef>
          </c:cat>
          <c:val>
            <c:numRef>
              <c:f>análisis!$C$52:$C$56</c:f>
              <c:numCache>
                <c:formatCode>_("$"* #,##0_);_("$"* \(#,##0\);_("$"* "-"_);_(@_)</c:formatCode>
                <c:ptCount val="5"/>
                <c:pt idx="0">
                  <c:v>2387370920</c:v>
                </c:pt>
                <c:pt idx="1">
                  <c:v>44385845205</c:v>
                </c:pt>
                <c:pt idx="2">
                  <c:v>427073640</c:v>
                </c:pt>
                <c:pt idx="3">
                  <c:v>684771084</c:v>
                </c:pt>
                <c:pt idx="4">
                  <c:v>1693111473</c:v>
                </c:pt>
              </c:numCache>
            </c:numRef>
          </c:val>
          <c:extLst>
            <c:ext xmlns:c16="http://schemas.microsoft.com/office/drawing/2014/chart" uri="{C3380CC4-5D6E-409C-BE32-E72D297353CC}">
              <c16:uniqueId val="{00000015-2D00-4DF7-97F6-5D9C021F0AED}"/>
            </c:ext>
          </c:extLst>
        </c:ser>
        <c:dLbls>
          <c:dLblPos val="bestFit"/>
          <c:showLegendKey val="0"/>
          <c:showVal val="0"/>
          <c:showCatName val="0"/>
          <c:showSerName val="0"/>
          <c:showPercent val="1"/>
          <c:showBubbleSize val="0"/>
          <c:showLeaderLines val="1"/>
        </c:dLbls>
      </c:pie3D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s-CO"/>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s-CO"/>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11029</Words>
  <Characters>60664</Characters>
  <Application>Microsoft Office Word</Application>
  <DocSecurity>0</DocSecurity>
  <Lines>505</Lines>
  <Paragraphs>143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Gloria Piedad Roa Carrero</dc:creator>
  <cp:keywords/>
  <dc:description/>
  <cp:lastModifiedBy>Yimmy Alexander Marquez Alvarez</cp:lastModifiedBy>
  <cp:revision>2</cp:revision>
  <dcterms:created xsi:type="dcterms:W3CDTF">2020-01-30T18:57:00Z</dcterms:created>
  <dcterms:modified xsi:type="dcterms:W3CDTF">2020-01-30T18:57:00Z</dcterms:modified>
</cp:coreProperties>
</file>